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4BAC5" w14:textId="6BA99C02" w:rsidR="0065502F" w:rsidRPr="00D75D82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US"/>
        </w:rPr>
      </w:pPr>
      <w:r w:rsidRPr="00D75D82">
        <w:rPr>
          <w:b/>
          <w:sz w:val="24"/>
          <w:szCs w:val="24"/>
          <w:lang w:val="en-US"/>
        </w:rPr>
        <w:t>Source:</w:t>
      </w:r>
      <w:r w:rsidRPr="00D75D82">
        <w:rPr>
          <w:b/>
          <w:sz w:val="24"/>
          <w:szCs w:val="24"/>
          <w:lang w:val="en-US"/>
        </w:rPr>
        <w:tab/>
      </w:r>
      <w:r w:rsidR="009C1CEF">
        <w:rPr>
          <w:b/>
          <w:sz w:val="24"/>
          <w:szCs w:val="24"/>
          <w:lang w:val="en-US"/>
        </w:rPr>
        <w:t>ATIAS Co-Rapporteurs (Orange, Dolby Laboratories, Inc.)</w:t>
      </w:r>
    </w:p>
    <w:p w14:paraId="6B1DD528" w14:textId="5141C7BB"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2A3C17">
        <w:rPr>
          <w:b/>
          <w:sz w:val="24"/>
          <w:szCs w:val="24"/>
        </w:rPr>
        <w:t>O</w:t>
      </w:r>
      <w:r w:rsidR="00695928">
        <w:rPr>
          <w:b/>
          <w:sz w:val="24"/>
          <w:szCs w:val="24"/>
        </w:rPr>
        <w:t xml:space="preserve">n ATIAS </w:t>
      </w:r>
      <w:r w:rsidR="008F2C75">
        <w:rPr>
          <w:b/>
          <w:sz w:val="24"/>
          <w:szCs w:val="24"/>
        </w:rPr>
        <w:t>objectives</w:t>
      </w:r>
      <w:r w:rsidR="00B5743E">
        <w:rPr>
          <w:b/>
          <w:sz w:val="24"/>
          <w:szCs w:val="24"/>
        </w:rPr>
        <w:t xml:space="preserve"> and specification structuring</w:t>
      </w:r>
    </w:p>
    <w:p w14:paraId="72874535" w14:textId="677774F3" w:rsidR="0065502F" w:rsidRDefault="009D682C" w:rsidP="008E2DA5">
      <w:pPr>
        <w:tabs>
          <w:tab w:val="left" w:pos="2127"/>
          <w:tab w:val="center" w:pos="4514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9C1CEF">
        <w:rPr>
          <w:b/>
          <w:sz w:val="24"/>
          <w:szCs w:val="24"/>
        </w:rPr>
        <w:t>Discussion</w:t>
      </w:r>
    </w:p>
    <w:p w14:paraId="4A76EED3" w14:textId="07AC4CA8"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695928">
        <w:rPr>
          <w:b/>
          <w:sz w:val="24"/>
          <w:szCs w:val="24"/>
        </w:rPr>
        <w:t>7.</w:t>
      </w:r>
      <w:r w:rsidR="00C32411">
        <w:rPr>
          <w:b/>
          <w:sz w:val="24"/>
          <w:szCs w:val="24"/>
        </w:rPr>
        <w:t>6</w:t>
      </w:r>
    </w:p>
    <w:p w14:paraId="4FB4F622" w14:textId="77777777"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6C535C40" w14:textId="77777777" w:rsidR="00576D68" w:rsidRDefault="00576D68" w:rsidP="00576D68">
      <w:pPr>
        <w:pStyle w:val="Corpsdetexte"/>
        <w:rPr>
          <w:b/>
          <w:lang w:val="en-US"/>
        </w:rPr>
      </w:pPr>
    </w:p>
    <w:p w14:paraId="550704A6" w14:textId="2FBC266B" w:rsidR="00D75D82" w:rsidRPr="00D75D82" w:rsidRDefault="00695928" w:rsidP="00D75D82">
      <w:pPr>
        <w:keepNext/>
        <w:widowControl w:val="0"/>
        <w:numPr>
          <w:ilvl w:val="0"/>
          <w:numId w:val="9"/>
        </w:numPr>
        <w:spacing w:after="120" w:line="240" w:lineRule="atLeast"/>
        <w:outlineLvl w:val="1"/>
        <w:rPr>
          <w:rFonts w:eastAsia="SimSun" w:cs="Times New Roman"/>
          <w:b/>
          <w:sz w:val="24"/>
          <w:szCs w:val="24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Introduction</w:t>
      </w:r>
    </w:p>
    <w:p w14:paraId="094A48D2" w14:textId="6F86014C" w:rsidR="00655CBE" w:rsidRPr="007E4574" w:rsidRDefault="007E4574" w:rsidP="007E4574">
      <w:r w:rsidRPr="000512BF">
        <w:t xml:space="preserve">The overall objective of </w:t>
      </w:r>
      <w:r>
        <w:t>ATIAS</w:t>
      </w:r>
      <w:r w:rsidRPr="000512BF">
        <w:t xml:space="preserve"> </w:t>
      </w:r>
      <w:r>
        <w:t xml:space="preserve">[1] </w:t>
      </w:r>
      <w:r w:rsidRPr="000512BF">
        <w:t xml:space="preserve">is to develop a set of test specifications similar to TS 26.131 and 26.132 </w:t>
      </w:r>
      <w:r>
        <w:t>for objective characterization of terminals for</w:t>
      </w:r>
      <w:r w:rsidRPr="000512BF">
        <w:t xml:space="preserve"> </w:t>
      </w:r>
      <w:r>
        <w:t xml:space="preserve">3GPP </w:t>
      </w:r>
      <w:r w:rsidRPr="000512BF">
        <w:t xml:space="preserve">immersive </w:t>
      </w:r>
      <w:r>
        <w:t xml:space="preserve">services. This covers both </w:t>
      </w:r>
      <w:r w:rsidRPr="000512BF">
        <w:t xml:space="preserve">conversational services </w:t>
      </w:r>
      <w:r>
        <w:t>based on</w:t>
      </w:r>
      <w:r w:rsidRPr="000512BF">
        <w:t xml:space="preserve"> MTSI</w:t>
      </w:r>
      <w:r>
        <w:t xml:space="preserve"> / telepresence and non-conversational services</w:t>
      </w:r>
      <w:r w:rsidRPr="000512BF">
        <w:t>.</w:t>
      </w:r>
      <w:r>
        <w:t xml:space="preserve"> </w:t>
      </w:r>
      <w:r w:rsidR="00695928">
        <w:rPr>
          <w:rFonts w:eastAsia="Times New Roman"/>
          <w:lang w:eastAsia="en-US"/>
        </w:rPr>
        <w:t>According to the ATIAS WID</w:t>
      </w:r>
      <w:r w:rsidR="00230F5E">
        <w:rPr>
          <w:rFonts w:eastAsia="Times New Roman"/>
          <w:lang w:eastAsia="en-US"/>
        </w:rPr>
        <w:t xml:space="preserve"> [1],</w:t>
      </w:r>
      <w:r w:rsidR="00695928">
        <w:rPr>
          <w:rFonts w:eastAsia="Times New Roman"/>
          <w:lang w:eastAsia="en-US"/>
        </w:rPr>
        <w:t xml:space="preserve"> TS 26.260 </w:t>
      </w:r>
      <w:r w:rsidR="00CC4E63">
        <w:rPr>
          <w:rFonts w:eastAsia="Times New Roman"/>
          <w:lang w:eastAsia="en-US"/>
        </w:rPr>
        <w:t xml:space="preserve">[2] </w:t>
      </w:r>
      <w:r w:rsidR="00695928">
        <w:rPr>
          <w:rFonts w:eastAsia="Times New Roman"/>
          <w:lang w:eastAsia="en-US"/>
        </w:rPr>
        <w:t xml:space="preserve">will be updated to include updated or new test methods and TS 26.261 </w:t>
      </w:r>
      <w:r w:rsidR="00CC4E63">
        <w:rPr>
          <w:rFonts w:eastAsia="Times New Roman"/>
          <w:lang w:eastAsia="en-US"/>
        </w:rPr>
        <w:t xml:space="preserve">[3] </w:t>
      </w:r>
      <w:r w:rsidR="00695928">
        <w:rPr>
          <w:rFonts w:eastAsia="Times New Roman"/>
          <w:lang w:eastAsia="en-US"/>
        </w:rPr>
        <w:t>will cover associated terminal requirements for immersive audio services.</w:t>
      </w:r>
    </w:p>
    <w:p w14:paraId="193F26FF" w14:textId="1ED878C9" w:rsidR="00230F5E" w:rsidRPr="001E380F" w:rsidRDefault="00230F5E" w:rsidP="009A12A9">
      <w:pPr>
        <w:widowControl w:val="0"/>
        <w:spacing w:after="120" w:line="240" w:lineRule="atLeast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In the present contribution, we discuss the potential impact of new Rel-18 W</w:t>
      </w:r>
      <w:r w:rsidR="005E7868">
        <w:rPr>
          <w:rFonts w:eastAsia="Times New Roman"/>
          <w:lang w:eastAsia="en-US"/>
        </w:rPr>
        <w:t>I</w:t>
      </w:r>
      <w:r>
        <w:rPr>
          <w:rFonts w:eastAsia="Times New Roman"/>
          <w:lang w:eastAsia="en-US"/>
        </w:rPr>
        <w:t>s</w:t>
      </w:r>
      <w:r w:rsidR="005E7868">
        <w:rPr>
          <w:rFonts w:eastAsia="Times New Roman"/>
          <w:lang w:eastAsia="en-US"/>
        </w:rPr>
        <w:t xml:space="preserve"> dealing with immersive audio in XR services</w:t>
      </w:r>
      <w:r>
        <w:rPr>
          <w:rFonts w:eastAsia="Times New Roman"/>
          <w:lang w:eastAsia="en-US"/>
        </w:rPr>
        <w:t xml:space="preserve">. We also </w:t>
      </w:r>
      <w:r w:rsidR="007E4574">
        <w:rPr>
          <w:rFonts w:eastAsia="Times New Roman"/>
          <w:lang w:eastAsia="en-US"/>
        </w:rPr>
        <w:t>revisit</w:t>
      </w:r>
      <w:r w:rsidR="005E7868">
        <w:rPr>
          <w:rFonts w:eastAsia="Times New Roman"/>
          <w:lang w:eastAsia="en-US"/>
        </w:rPr>
        <w:t xml:space="preserve"> the topic of</w:t>
      </w:r>
      <w:r w:rsidR="007E4574">
        <w:rPr>
          <w:rFonts w:eastAsia="Times New Roman"/>
          <w:lang w:eastAsia="en-US"/>
        </w:rPr>
        <w:t xml:space="preserve"> </w:t>
      </w:r>
      <w:r w:rsidR="005E7868">
        <w:rPr>
          <w:rFonts w:eastAsia="Times New Roman"/>
          <w:lang w:eastAsia="en-US"/>
        </w:rPr>
        <w:t xml:space="preserve">ATIAS </w:t>
      </w:r>
      <w:r>
        <w:rPr>
          <w:rFonts w:eastAsia="Times New Roman"/>
          <w:lang w:eastAsia="en-US"/>
        </w:rPr>
        <w:t>specification structur</w:t>
      </w:r>
      <w:r w:rsidR="007E4574">
        <w:rPr>
          <w:rFonts w:eastAsia="Times New Roman"/>
          <w:lang w:eastAsia="en-US"/>
        </w:rPr>
        <w:t>ing and discuss how ATIAS outputs may</w:t>
      </w:r>
      <w:r>
        <w:rPr>
          <w:rFonts w:eastAsia="Times New Roman"/>
          <w:lang w:eastAsia="en-US"/>
        </w:rPr>
        <w:t xml:space="preserve"> be best organized.</w:t>
      </w:r>
    </w:p>
    <w:p w14:paraId="01D86514" w14:textId="79A650BC" w:rsidR="00D75D82" w:rsidRDefault="00D75D82" w:rsidP="00D75D82">
      <w:pPr>
        <w:widowControl w:val="0"/>
        <w:spacing w:after="120" w:line="240" w:lineRule="atLeast"/>
        <w:rPr>
          <w:rFonts w:eastAsia="SimSun" w:cs="Times New Roman"/>
          <w:szCs w:val="20"/>
          <w:lang w:eastAsia="en-US"/>
        </w:rPr>
      </w:pPr>
    </w:p>
    <w:p w14:paraId="1369DF01" w14:textId="77777777" w:rsidR="00230F5E" w:rsidRPr="001E380F" w:rsidRDefault="00230F5E" w:rsidP="00230F5E">
      <w:pPr>
        <w:keepNext/>
        <w:widowControl w:val="0"/>
        <w:numPr>
          <w:ilvl w:val="0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Impact of Rel-18 Work Items stemming from FS_5STAR conclusions</w:t>
      </w:r>
    </w:p>
    <w:p w14:paraId="5F9CE7ED" w14:textId="28A8057C" w:rsidR="00230F5E" w:rsidRDefault="00230F5E" w:rsidP="00230F5E">
      <w:pPr>
        <w:rPr>
          <w:lang w:val="en-US" w:eastAsia="en-US"/>
        </w:rPr>
      </w:pPr>
      <w:r>
        <w:rPr>
          <w:lang w:val="en-US" w:eastAsia="en-US"/>
        </w:rPr>
        <w:t xml:space="preserve">Since the </w:t>
      </w:r>
      <w:r w:rsidR="005E7868">
        <w:rPr>
          <w:lang w:val="en-US" w:eastAsia="en-US"/>
        </w:rPr>
        <w:t>launch</w:t>
      </w:r>
      <w:r>
        <w:rPr>
          <w:lang w:val="en-US" w:eastAsia="en-US"/>
        </w:rPr>
        <w:t xml:space="preserve"> of ATIAS, new work items such as iRTCW</w:t>
      </w:r>
      <w:r w:rsidR="00CC4E63">
        <w:rPr>
          <w:lang w:val="en-US" w:eastAsia="en-US"/>
        </w:rPr>
        <w:t xml:space="preserve"> [4]</w:t>
      </w:r>
      <w:r>
        <w:rPr>
          <w:lang w:val="en-US" w:eastAsia="en-US"/>
        </w:rPr>
        <w:t xml:space="preserve"> or MeCAR</w:t>
      </w:r>
      <w:r w:rsidR="00CC4E63">
        <w:rPr>
          <w:lang w:val="en-US" w:eastAsia="en-US"/>
        </w:rPr>
        <w:t xml:space="preserve"> [5]</w:t>
      </w:r>
      <w:r w:rsidR="005E7868">
        <w:rPr>
          <w:lang w:val="en-US" w:eastAsia="en-US"/>
        </w:rPr>
        <w:t xml:space="preserve"> have been approved</w:t>
      </w:r>
      <w:r>
        <w:rPr>
          <w:lang w:val="en-US" w:eastAsia="en-US"/>
        </w:rPr>
        <w:t xml:space="preserve">. The upcoming support of WebRTC-based conversational services </w:t>
      </w:r>
      <w:r w:rsidR="005E7868">
        <w:rPr>
          <w:lang w:val="en-US" w:eastAsia="en-US"/>
        </w:rPr>
        <w:t>is not explicitly</w:t>
      </w:r>
      <w:r>
        <w:rPr>
          <w:lang w:val="en-US" w:eastAsia="en-US"/>
        </w:rPr>
        <w:t xml:space="preserve"> </w:t>
      </w:r>
      <w:r w:rsidR="005E7868">
        <w:rPr>
          <w:lang w:val="en-US" w:eastAsia="en-US"/>
        </w:rPr>
        <w:t>in the</w:t>
      </w:r>
      <w:r>
        <w:rPr>
          <w:lang w:val="en-US" w:eastAsia="en-US"/>
        </w:rPr>
        <w:t xml:space="preserve"> scope of ATIAS </w:t>
      </w:r>
      <w:r w:rsidR="005E7868">
        <w:rPr>
          <w:lang w:val="en-US" w:eastAsia="en-US"/>
        </w:rPr>
        <w:t xml:space="preserve">(limited to MTSI/telepresence for conversational services) and this issue </w:t>
      </w:r>
      <w:r>
        <w:rPr>
          <w:lang w:val="en-US" w:eastAsia="en-US"/>
        </w:rPr>
        <w:t>should be discussed.</w:t>
      </w:r>
      <w:r w:rsidR="007E4574">
        <w:rPr>
          <w:lang w:val="en-US" w:eastAsia="en-US"/>
        </w:rPr>
        <w:t xml:space="preserve"> </w:t>
      </w:r>
      <w:r w:rsidR="005E7868">
        <w:rPr>
          <w:lang w:val="en-US" w:eastAsia="en-US"/>
        </w:rPr>
        <w:t>Let alone this issue with the WI scope, new WIs</w:t>
      </w:r>
      <w:r w:rsidR="007E4574">
        <w:rPr>
          <w:lang w:val="en-US" w:eastAsia="en-US"/>
        </w:rPr>
        <w:t xml:space="preserve"> </w:t>
      </w:r>
      <w:r w:rsidR="005E7868">
        <w:rPr>
          <w:lang w:val="en-US" w:eastAsia="en-US"/>
        </w:rPr>
        <w:t xml:space="preserve">could be </w:t>
      </w:r>
      <w:r w:rsidR="009622CF">
        <w:rPr>
          <w:lang w:val="en-US" w:eastAsia="en-US"/>
        </w:rPr>
        <w:t>considered</w:t>
      </w:r>
      <w:r w:rsidR="005E7868">
        <w:rPr>
          <w:lang w:val="en-US" w:eastAsia="en-US"/>
        </w:rPr>
        <w:t xml:space="preserve"> with some impacts</w:t>
      </w:r>
      <w:r w:rsidR="007E4574">
        <w:rPr>
          <w:lang w:val="en-US" w:eastAsia="en-US"/>
        </w:rPr>
        <w:t xml:space="preserve"> on setup aspects and system simulator features, </w:t>
      </w:r>
      <w:r w:rsidR="009622CF">
        <w:rPr>
          <w:lang w:val="en-US" w:eastAsia="en-US"/>
        </w:rPr>
        <w:t>e.g.,</w:t>
      </w:r>
      <w:r w:rsidR="007E4574">
        <w:rPr>
          <w:lang w:val="en-US" w:eastAsia="en-US"/>
        </w:rPr>
        <w:t xml:space="preserve"> how sessions are established/negotiated with a system simulator, whether the service platform goes beyond using an IMS core, etc.</w:t>
      </w:r>
    </w:p>
    <w:p w14:paraId="401AF3FA" w14:textId="04D9946D" w:rsidR="005E7868" w:rsidRDefault="005E7868" w:rsidP="00230F5E">
      <w:pPr>
        <w:rPr>
          <w:lang w:val="en-US" w:eastAsia="en-US"/>
        </w:rPr>
      </w:pPr>
      <w:r>
        <w:rPr>
          <w:lang w:val="en-US" w:eastAsia="en-US"/>
        </w:rPr>
        <w:t>We therefore invite views on whether the ATIAS WID should be updated and clarified to reflect the new Rel-18 work items on XR.</w:t>
      </w:r>
    </w:p>
    <w:p w14:paraId="7C744437" w14:textId="77777777" w:rsidR="00230F5E" w:rsidRPr="00230F5E" w:rsidRDefault="00230F5E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14:paraId="65AA5A00" w14:textId="5906845A" w:rsidR="00D75D82" w:rsidRPr="00D75D82" w:rsidRDefault="008F2C75" w:rsidP="00D75D82">
      <w:pPr>
        <w:keepNext/>
        <w:widowControl w:val="0"/>
        <w:numPr>
          <w:ilvl w:val="0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On</w:t>
      </w:r>
      <w:r w:rsidR="00695928">
        <w:rPr>
          <w:rFonts w:eastAsia="SimSun" w:cs="Times New Roman"/>
          <w:b/>
          <w:sz w:val="24"/>
          <w:szCs w:val="20"/>
          <w:lang w:val="en-US" w:eastAsia="en-US"/>
        </w:rPr>
        <w:t xml:space="preserve"> </w:t>
      </w:r>
      <w:r>
        <w:rPr>
          <w:rFonts w:eastAsia="SimSun" w:cs="Times New Roman"/>
          <w:b/>
          <w:sz w:val="24"/>
          <w:szCs w:val="20"/>
          <w:lang w:val="en-US" w:eastAsia="en-US"/>
        </w:rPr>
        <w:t>specification</w:t>
      </w:r>
      <w:r w:rsidR="00695928">
        <w:rPr>
          <w:rFonts w:eastAsia="SimSun" w:cs="Times New Roman"/>
          <w:b/>
          <w:sz w:val="24"/>
          <w:szCs w:val="20"/>
          <w:lang w:val="en-US" w:eastAsia="en-US"/>
        </w:rPr>
        <w:t xml:space="preserve"> structure</w:t>
      </w:r>
    </w:p>
    <w:p w14:paraId="1EA2BEA5" w14:textId="06453363" w:rsidR="008D1F48" w:rsidRPr="008D1F48" w:rsidRDefault="008D1F48" w:rsidP="008D1F48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 xml:space="preserve"> Current status</w:t>
      </w:r>
    </w:p>
    <w:p w14:paraId="57140850" w14:textId="0E459646" w:rsidR="00655CBE" w:rsidRDefault="00695928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The current version of TS 26.260 (17.0.0)</w:t>
      </w:r>
      <w:r w:rsidR="008F2C75">
        <w:rPr>
          <w:rFonts w:eastAsia="Times New Roman"/>
          <w:lang w:val="en-US" w:eastAsia="en-US"/>
        </w:rPr>
        <w:t xml:space="preserve"> [1]</w:t>
      </w:r>
      <w:r>
        <w:rPr>
          <w:rFonts w:eastAsia="Times New Roman"/>
          <w:lang w:val="en-US" w:eastAsia="en-US"/>
        </w:rPr>
        <w:t xml:space="preserve"> is structured as follows (keeping only relevant section headings):</w:t>
      </w:r>
    </w:p>
    <w:p w14:paraId="72C3A4DB" w14:textId="56986C94" w:rsidR="00695928" w:rsidRDefault="00695928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</w:p>
    <w:p w14:paraId="2749C368" w14:textId="2200F7B0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Introduction</w:t>
      </w:r>
    </w:p>
    <w:p w14:paraId="53DA311D" w14:textId="77E7228C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1</w:t>
      </w:r>
      <w:r w:rsidRPr="008F2C75">
        <w:rPr>
          <w:rFonts w:eastAsia="Times New Roman"/>
          <w:color w:val="0070C0"/>
          <w:lang w:val="en-US" w:eastAsia="en-US"/>
        </w:rPr>
        <w:tab/>
        <w:t>Scope</w:t>
      </w:r>
    </w:p>
    <w:p w14:paraId="749B188C" w14:textId="6C33307C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2</w:t>
      </w:r>
      <w:r w:rsidRPr="008F2C75">
        <w:rPr>
          <w:rFonts w:eastAsia="Times New Roman"/>
          <w:color w:val="0070C0"/>
          <w:lang w:val="en-US" w:eastAsia="en-US"/>
        </w:rPr>
        <w:tab/>
        <w:t>References</w:t>
      </w:r>
    </w:p>
    <w:p w14:paraId="7D09AC17" w14:textId="340EFCD8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3</w:t>
      </w:r>
      <w:r w:rsidRPr="008F2C75">
        <w:rPr>
          <w:rFonts w:eastAsia="Times New Roman"/>
          <w:color w:val="0070C0"/>
          <w:lang w:val="en-US" w:eastAsia="en-US"/>
        </w:rPr>
        <w:tab/>
        <w:t>Definitions, symbols and abbreviations</w:t>
      </w:r>
    </w:p>
    <w:p w14:paraId="12BE9B9D" w14:textId="21F6F249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</w:t>
      </w:r>
      <w:r w:rsidRPr="008F2C75">
        <w:rPr>
          <w:rFonts w:eastAsia="Times New Roman"/>
          <w:color w:val="0070C0"/>
          <w:lang w:val="en-US" w:eastAsia="en-US"/>
        </w:rPr>
        <w:tab/>
        <w:t>Objective Test Methodologies for Immersive Audio Systems</w:t>
      </w:r>
    </w:p>
    <w:p w14:paraId="3564955A" w14:textId="00FBE51F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4.1</w:t>
      </w:r>
      <w:r w:rsidRPr="008F2C75">
        <w:rPr>
          <w:rFonts w:eastAsia="Times New Roman"/>
          <w:color w:val="0070C0"/>
          <w:lang w:val="en-US" w:eastAsia="en-US"/>
        </w:rPr>
        <w:tab/>
        <w:t>Objective Test Methodologies for Assessment of Immersive Audio Systems in the Sending Direction</w:t>
      </w:r>
    </w:p>
    <w:p w14:paraId="6EC263D3" w14:textId="0BC0F459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4.1.1</w:t>
      </w:r>
      <w:r w:rsidRPr="008F2C75">
        <w:rPr>
          <w:rFonts w:eastAsia="Times New Roman"/>
          <w:color w:val="0070C0"/>
          <w:lang w:val="en-US" w:eastAsia="en-US"/>
        </w:rPr>
        <w:tab/>
        <w:t>Diffuse-field Send Frequency Response for Scene-based Audio</w:t>
      </w:r>
    </w:p>
    <w:p w14:paraId="327C9675" w14:textId="19E585CA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lastRenderedPageBreak/>
        <w:t>4.1.1.1</w:t>
      </w:r>
      <w:r w:rsidRPr="008F2C75">
        <w:rPr>
          <w:rFonts w:eastAsia="Times New Roman"/>
          <w:color w:val="0070C0"/>
          <w:lang w:val="en-US" w:eastAsia="en-US"/>
        </w:rPr>
        <w:tab/>
        <w:t>Introduction</w:t>
      </w:r>
    </w:p>
    <w:p w14:paraId="70A4C345" w14:textId="154A46CA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4.1.1.2</w:t>
      </w:r>
      <w:r w:rsidRPr="008F2C75">
        <w:rPr>
          <w:rFonts w:eastAsia="Times New Roman"/>
          <w:color w:val="0070C0"/>
          <w:lang w:val="en-US" w:eastAsia="en-US"/>
        </w:rPr>
        <w:tab/>
        <w:t>Definition</w:t>
      </w:r>
    </w:p>
    <w:p w14:paraId="7BE413D1" w14:textId="238D0118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4.1.1.3</w:t>
      </w:r>
      <w:r w:rsidRPr="008F2C75">
        <w:rPr>
          <w:rFonts w:eastAsia="Times New Roman"/>
          <w:color w:val="0070C0"/>
          <w:lang w:val="en-US" w:eastAsia="en-US"/>
        </w:rPr>
        <w:tab/>
        <w:t>Test method with periphonic array</w:t>
      </w:r>
    </w:p>
    <w:p w14:paraId="34FC2719" w14:textId="1F6FA12E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4.1.1.4</w:t>
      </w:r>
      <w:r w:rsidRPr="008F2C75">
        <w:rPr>
          <w:rFonts w:eastAsia="Times New Roman"/>
          <w:color w:val="0070C0"/>
          <w:lang w:val="en-US" w:eastAsia="en-US"/>
        </w:rPr>
        <w:tab/>
        <w:t>Test method with loudspeaker array and turn table</w:t>
      </w:r>
    </w:p>
    <w:p w14:paraId="13A953D9" w14:textId="06DD4264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4.1.2</w:t>
      </w:r>
      <w:r w:rsidRPr="008F2C75">
        <w:rPr>
          <w:rFonts w:eastAsia="Times New Roman"/>
          <w:color w:val="0070C0"/>
          <w:lang w:val="en-US" w:eastAsia="en-US"/>
        </w:rPr>
        <w:tab/>
        <w:t>Directional response measurement for scene-based audio</w:t>
      </w:r>
    </w:p>
    <w:p w14:paraId="2E7434A4" w14:textId="73A6CE16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4.2</w:t>
      </w:r>
      <w:r w:rsidRPr="008F2C75">
        <w:rPr>
          <w:rFonts w:eastAsia="Times New Roman"/>
          <w:color w:val="0070C0"/>
          <w:lang w:val="en-US" w:eastAsia="en-US"/>
        </w:rPr>
        <w:tab/>
        <w:t>Objective Test Methodologies for Assessment of Immersive Audio Systems in the Receiving Direction</w:t>
      </w:r>
    </w:p>
    <w:p w14:paraId="3B14559D" w14:textId="62400484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4.2.1</w:t>
      </w:r>
      <w:r w:rsidRPr="008F2C75">
        <w:rPr>
          <w:rFonts w:eastAsia="Times New Roman"/>
          <w:color w:val="0070C0"/>
          <w:lang w:val="en-US" w:eastAsia="en-US"/>
        </w:rPr>
        <w:tab/>
        <w:t>Headset Binaural Diffuse-field Receive frequency response for Scene-based audio</w:t>
      </w:r>
    </w:p>
    <w:p w14:paraId="530E8BD3" w14:textId="5C42685A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4.2.2</w:t>
      </w:r>
      <w:r w:rsidRPr="008F2C75">
        <w:rPr>
          <w:rFonts w:eastAsia="Times New Roman"/>
          <w:color w:val="0070C0"/>
          <w:lang w:val="en-US" w:eastAsia="en-US"/>
        </w:rPr>
        <w:tab/>
        <w:t>Nominal System Sensitivity in Receive Direction for Channel-based audio</w:t>
      </w:r>
    </w:p>
    <w:p w14:paraId="4904B911" w14:textId="6AEC64BE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4.2.3</w:t>
      </w:r>
      <w:r w:rsidRPr="008F2C75">
        <w:rPr>
          <w:rFonts w:eastAsia="Times New Roman"/>
          <w:color w:val="0070C0"/>
          <w:lang w:val="en-US" w:eastAsia="en-US"/>
        </w:rPr>
        <w:tab/>
        <w:t>Motion to Sound Latency in Dynamic Binaural Rendering Systems</w:t>
      </w:r>
      <w:r w:rsidRPr="008F2C75">
        <w:rPr>
          <w:rFonts w:eastAsia="Times New Roman"/>
          <w:color w:val="0070C0"/>
          <w:lang w:val="en-US" w:eastAsia="en-US"/>
        </w:rPr>
        <w:tab/>
      </w:r>
    </w:p>
    <w:p w14:paraId="04F53B51" w14:textId="3E96D8C4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Annex A:</w:t>
      </w:r>
      <w:r w:rsidRPr="008F2C75">
        <w:rPr>
          <w:rFonts w:eastAsia="Times New Roman"/>
          <w:color w:val="0070C0"/>
          <w:lang w:val="en-US" w:eastAsia="en-US"/>
        </w:rPr>
        <w:tab/>
        <w:t xml:space="preserve"> Order dependent directions</w:t>
      </w:r>
    </w:p>
    <w:p w14:paraId="4EF139D6" w14:textId="666B446A" w:rsidR="00695928" w:rsidRPr="008F2C75" w:rsidRDefault="00695928" w:rsidP="00695928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Annex B:</w:t>
      </w:r>
      <w:r w:rsidRPr="008F2C75">
        <w:rPr>
          <w:rFonts w:eastAsia="Times New Roman"/>
          <w:color w:val="0070C0"/>
          <w:lang w:val="en-US" w:eastAsia="en-US"/>
        </w:rPr>
        <w:tab/>
        <w:t xml:space="preserve"> Directions in Gaussian spherical grid</w:t>
      </w:r>
    </w:p>
    <w:p w14:paraId="308A4FE5" w14:textId="19445427" w:rsidR="00695928" w:rsidRDefault="00695928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</w:p>
    <w:p w14:paraId="48E3C115" w14:textId="53BCEC57" w:rsidR="00230F5E" w:rsidRDefault="00230F5E" w:rsidP="00230F5E">
      <w:r>
        <w:rPr>
          <w:rFonts w:eastAsia="Times New Roman"/>
          <w:lang w:val="en-US" w:eastAsia="en-US"/>
        </w:rPr>
        <w:t xml:space="preserve">From the ATIAS WID [1] there is a clear mandate that </w:t>
      </w:r>
      <w:r>
        <w:t>the objective test procedures defined by ATIAS will extend the set of test methods</w:t>
      </w:r>
      <w:r w:rsidRPr="0034616F">
        <w:t xml:space="preserve"> in </w:t>
      </w:r>
      <w:r w:rsidRPr="00583667">
        <w:t>TS 26.</w:t>
      </w:r>
      <w:r w:rsidRPr="004436ED">
        <w:t xml:space="preserve">260 and </w:t>
      </w:r>
      <w:r>
        <w:t>leverage findings</w:t>
      </w:r>
      <w:r w:rsidRPr="0034616F">
        <w:t xml:space="preserve"> </w:t>
      </w:r>
      <w:r w:rsidRPr="00583667">
        <w:t>identified i</w:t>
      </w:r>
      <w:r w:rsidRPr="004436ED">
        <w:t>n TR</w:t>
      </w:r>
      <w:r w:rsidRPr="0034616F">
        <w:t xml:space="preserve"> 26.</w:t>
      </w:r>
      <w:r w:rsidRPr="004436ED">
        <w:t>861</w:t>
      </w:r>
      <w:r w:rsidRPr="0034616F">
        <w:t>.</w:t>
      </w:r>
    </w:p>
    <w:p w14:paraId="6D5D2658" w14:textId="6473283B" w:rsidR="00695928" w:rsidRPr="00230F5E" w:rsidRDefault="00695928" w:rsidP="00D75D82">
      <w:pPr>
        <w:widowControl w:val="0"/>
        <w:spacing w:after="120" w:line="240" w:lineRule="atLeast"/>
        <w:rPr>
          <w:rFonts w:eastAsia="Times New Roman"/>
          <w:lang w:eastAsia="en-US"/>
        </w:rPr>
      </w:pPr>
    </w:p>
    <w:p w14:paraId="639D0136" w14:textId="77777777" w:rsidR="00695928" w:rsidRDefault="00695928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</w:p>
    <w:p w14:paraId="368FD801" w14:textId="1A5A5F10" w:rsidR="00FC0435" w:rsidRDefault="008F2C75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 xml:space="preserve">A draft skeleton for TS 26.261 [2] was </w:t>
      </w:r>
      <w:r w:rsidR="00B5743E">
        <w:rPr>
          <w:rFonts w:eastAsia="Times New Roman"/>
          <w:lang w:val="en-US" w:eastAsia="en-US"/>
        </w:rPr>
        <w:t>agreed</w:t>
      </w:r>
      <w:r>
        <w:rPr>
          <w:rFonts w:eastAsia="Times New Roman"/>
          <w:lang w:val="en-US" w:eastAsia="en-US"/>
        </w:rPr>
        <w:t xml:space="preserve"> at SA4#103</w:t>
      </w:r>
      <w:r w:rsidR="00B5743E">
        <w:rPr>
          <w:rFonts w:eastAsia="Times New Roman"/>
          <w:lang w:val="en-US" w:eastAsia="en-US"/>
        </w:rPr>
        <w:t xml:space="preserve"> as an initial basis</w:t>
      </w:r>
      <w:r>
        <w:rPr>
          <w:rFonts w:eastAsia="Times New Roman"/>
          <w:lang w:val="en-US" w:eastAsia="en-US"/>
        </w:rPr>
        <w:t>. A summary is provided below:</w:t>
      </w:r>
    </w:p>
    <w:p w14:paraId="1990FDF1" w14:textId="578655DB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Introduction</w:t>
      </w:r>
    </w:p>
    <w:p w14:paraId="6A6AC6FD" w14:textId="15C16F07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1</w:t>
      </w:r>
      <w:r w:rsidRPr="008F2C75">
        <w:rPr>
          <w:rFonts w:eastAsia="Times New Roman"/>
          <w:color w:val="0070C0"/>
          <w:lang w:val="en-US" w:eastAsia="en-US"/>
        </w:rPr>
        <w:tab/>
        <w:t>Scope</w:t>
      </w:r>
    </w:p>
    <w:p w14:paraId="1D60B9D8" w14:textId="2E6DD7D8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2</w:t>
      </w:r>
      <w:r w:rsidRPr="008F2C75">
        <w:rPr>
          <w:rFonts w:eastAsia="Times New Roman"/>
          <w:color w:val="0070C0"/>
          <w:lang w:val="en-US" w:eastAsia="en-US"/>
        </w:rPr>
        <w:tab/>
        <w:t>References</w:t>
      </w:r>
    </w:p>
    <w:p w14:paraId="22C65675" w14:textId="22A713B7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3</w:t>
      </w:r>
      <w:r w:rsidRPr="008F2C75">
        <w:rPr>
          <w:rFonts w:eastAsia="Times New Roman"/>
          <w:color w:val="0070C0"/>
          <w:lang w:val="en-US" w:eastAsia="en-US"/>
        </w:rPr>
        <w:tab/>
        <w:t>Definitions of terms, symbols and abbreviations</w:t>
      </w:r>
    </w:p>
    <w:p w14:paraId="2E0DBDA7" w14:textId="1C4EB495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</w:t>
      </w:r>
      <w:r w:rsidRPr="008F2C75">
        <w:rPr>
          <w:rFonts w:eastAsia="Times New Roman"/>
          <w:color w:val="0070C0"/>
          <w:lang w:val="en-US" w:eastAsia="en-US"/>
        </w:rPr>
        <w:tab/>
        <w:t>Interfaces</w:t>
      </w:r>
    </w:p>
    <w:p w14:paraId="603174AD" w14:textId="4EE3D973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4.1</w:t>
      </w:r>
      <w:r w:rsidRPr="008F2C75">
        <w:rPr>
          <w:rFonts w:eastAsia="Times New Roman"/>
          <w:color w:val="0070C0"/>
          <w:lang w:val="en-US" w:eastAsia="en-US"/>
        </w:rPr>
        <w:tab/>
        <w:t>[Interface 1]</w:t>
      </w:r>
    </w:p>
    <w:p w14:paraId="6455F5D9" w14:textId="1619E4B3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4.2</w:t>
      </w:r>
      <w:r w:rsidRPr="008F2C75">
        <w:rPr>
          <w:rFonts w:eastAsia="Times New Roman"/>
          <w:color w:val="0070C0"/>
          <w:lang w:val="en-US" w:eastAsia="en-US"/>
        </w:rPr>
        <w:tab/>
        <w:t>[Interface 2]</w:t>
      </w:r>
    </w:p>
    <w:p w14:paraId="50C58057" w14:textId="6C8BBB90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5</w:t>
      </w:r>
      <w:r w:rsidRPr="008F2C75">
        <w:rPr>
          <w:rFonts w:eastAsia="Times New Roman"/>
          <w:color w:val="0070C0"/>
          <w:lang w:val="en-US" w:eastAsia="en-US"/>
        </w:rPr>
        <w:tab/>
        <w:t>Performance for conversational services</w:t>
      </w:r>
    </w:p>
    <w:p w14:paraId="43D962C5" w14:textId="47A780D1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5.1</w:t>
      </w:r>
      <w:r w:rsidRPr="008F2C75">
        <w:rPr>
          <w:rFonts w:eastAsia="Times New Roman"/>
          <w:color w:val="0070C0"/>
          <w:lang w:val="en-US" w:eastAsia="en-US"/>
        </w:rPr>
        <w:tab/>
        <w:t>Applicability</w:t>
      </w:r>
    </w:p>
    <w:p w14:paraId="05AEFF41" w14:textId="0005B55C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5.2</w:t>
      </w:r>
      <w:r w:rsidRPr="008F2C75">
        <w:rPr>
          <w:rFonts w:eastAsia="Times New Roman"/>
          <w:color w:val="0070C0"/>
          <w:lang w:val="en-US" w:eastAsia="en-US"/>
        </w:rPr>
        <w:tab/>
        <w:t>[Test case 1]</w:t>
      </w:r>
    </w:p>
    <w:p w14:paraId="2583125E" w14:textId="760B3F51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5.3</w:t>
      </w:r>
      <w:r w:rsidRPr="008F2C75">
        <w:rPr>
          <w:rFonts w:eastAsia="Times New Roman"/>
          <w:color w:val="0070C0"/>
          <w:lang w:val="en-US" w:eastAsia="en-US"/>
        </w:rPr>
        <w:tab/>
        <w:t>[Test case 2]</w:t>
      </w:r>
    </w:p>
    <w:p w14:paraId="30646B01" w14:textId="2D2EDE3F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6</w:t>
      </w:r>
      <w:r w:rsidRPr="008F2C75">
        <w:rPr>
          <w:rFonts w:eastAsia="Times New Roman"/>
          <w:color w:val="0070C0"/>
          <w:lang w:val="en-US" w:eastAsia="en-US"/>
        </w:rPr>
        <w:tab/>
        <w:t>Performance for non-conversational services</w:t>
      </w:r>
    </w:p>
    <w:p w14:paraId="1769CA73" w14:textId="73FBE341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6.1</w:t>
      </w:r>
      <w:r w:rsidRPr="008F2C75">
        <w:rPr>
          <w:rFonts w:eastAsia="Times New Roman"/>
          <w:color w:val="0070C0"/>
          <w:lang w:val="en-US" w:eastAsia="en-US"/>
        </w:rPr>
        <w:tab/>
        <w:t>Applicability</w:t>
      </w:r>
    </w:p>
    <w:p w14:paraId="50886363" w14:textId="214A17BF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6.2</w:t>
      </w:r>
      <w:r w:rsidRPr="008F2C75">
        <w:rPr>
          <w:rFonts w:eastAsia="Times New Roman"/>
          <w:color w:val="0070C0"/>
          <w:lang w:val="en-US" w:eastAsia="en-US"/>
        </w:rPr>
        <w:tab/>
        <w:t>[Test case 1]</w:t>
      </w:r>
    </w:p>
    <w:p w14:paraId="121ADD96" w14:textId="327DB9DA" w:rsidR="008F2C75" w:rsidRPr="008F2C75" w:rsidRDefault="008F2C75" w:rsidP="008F2C75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6.3</w:t>
      </w:r>
      <w:r w:rsidRPr="008F2C75">
        <w:rPr>
          <w:rFonts w:eastAsia="Times New Roman"/>
          <w:color w:val="0070C0"/>
          <w:lang w:val="en-US" w:eastAsia="en-US"/>
        </w:rPr>
        <w:tab/>
        <w:t>[Test case 2]</w:t>
      </w:r>
    </w:p>
    <w:p w14:paraId="2D6BF4E8" w14:textId="0D282553" w:rsidR="008F2C75" w:rsidRDefault="008F2C75" w:rsidP="008F2C75">
      <w:pPr>
        <w:widowControl w:val="0"/>
        <w:spacing w:after="120" w:line="240" w:lineRule="atLeast"/>
        <w:rPr>
          <w:rFonts w:eastAsia="Times New Roman"/>
          <w:lang w:val="en-US" w:eastAsia="en-US"/>
        </w:rPr>
      </w:pPr>
    </w:p>
    <w:p w14:paraId="582C900E" w14:textId="77777777" w:rsidR="00827A71" w:rsidRDefault="00827A71" w:rsidP="008F2C75">
      <w:pPr>
        <w:widowControl w:val="0"/>
        <w:spacing w:after="120" w:line="240" w:lineRule="atLeast"/>
        <w:rPr>
          <w:rFonts w:eastAsia="Times New Roman"/>
          <w:lang w:val="en-US" w:eastAsia="en-US"/>
        </w:rPr>
      </w:pPr>
    </w:p>
    <w:p w14:paraId="33500F88" w14:textId="7F8FC2DE" w:rsidR="008D1F48" w:rsidRPr="008D1F48" w:rsidRDefault="008D1F48" w:rsidP="000571D1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Times New Roman"/>
          <w:lang w:val="en-US" w:eastAsia="en-US"/>
        </w:rPr>
      </w:pPr>
      <w:r w:rsidRPr="008D1F48">
        <w:rPr>
          <w:rFonts w:eastAsia="SimSun" w:cs="Times New Roman"/>
          <w:b/>
          <w:sz w:val="24"/>
          <w:szCs w:val="20"/>
          <w:lang w:val="en-US" w:eastAsia="en-US"/>
        </w:rPr>
        <w:lastRenderedPageBreak/>
        <w:t>Discussion</w:t>
      </w:r>
    </w:p>
    <w:p w14:paraId="5688FA15" w14:textId="5065B1D6" w:rsidR="008D1F48" w:rsidRDefault="008D1F48" w:rsidP="008D1F48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8D1F48">
        <w:rPr>
          <w:rFonts w:eastAsia="Times New Roman"/>
          <w:lang w:val="en-US" w:eastAsia="en-US"/>
        </w:rPr>
        <w:t>While the structure of TS 26.261 can be adjusted until this specification is approved and turned into revision control, it is important to note that</w:t>
      </w:r>
      <w:r w:rsidR="005E7868">
        <w:rPr>
          <w:rFonts w:eastAsia="Times New Roman"/>
          <w:lang w:val="en-US" w:eastAsia="en-US"/>
        </w:rPr>
        <w:t>,</w:t>
      </w:r>
      <w:r w:rsidRPr="008D1F48">
        <w:rPr>
          <w:rFonts w:eastAsia="Times New Roman"/>
          <w:lang w:val="en-US" w:eastAsia="en-US"/>
        </w:rPr>
        <w:t xml:space="preserve"> for backward compatibility reason</w:t>
      </w:r>
      <w:r w:rsidR="005E7868">
        <w:rPr>
          <w:rFonts w:eastAsia="Times New Roman"/>
          <w:lang w:val="en-US" w:eastAsia="en-US"/>
        </w:rPr>
        <w:t>s,</w:t>
      </w:r>
      <w:r w:rsidRPr="008D1F48">
        <w:rPr>
          <w:rFonts w:eastAsia="Times New Roman"/>
          <w:lang w:val="en-US" w:eastAsia="en-US"/>
        </w:rPr>
        <w:t xml:space="preserve"> </w:t>
      </w:r>
      <w:r w:rsidR="009622CF" w:rsidRPr="008D1F48">
        <w:rPr>
          <w:rFonts w:eastAsia="Times New Roman"/>
          <w:lang w:val="en-US" w:eastAsia="en-US"/>
        </w:rPr>
        <w:t>no restructuring</w:t>
      </w:r>
      <w:r w:rsidRPr="008D1F48">
        <w:rPr>
          <w:rFonts w:eastAsia="Times New Roman"/>
          <w:lang w:val="en-US" w:eastAsia="en-US"/>
        </w:rPr>
        <w:t xml:space="preserve"> of TS 26.260 is allowed other than declaring some existing clauses to ‘Void’ and defining new subclauses or clauses.</w:t>
      </w:r>
    </w:p>
    <w:p w14:paraId="79396BA3" w14:textId="6C61FD57" w:rsidR="002B5DE3" w:rsidRPr="002B5DE3" w:rsidRDefault="002B5DE3" w:rsidP="002B5DE3">
      <w:r>
        <w:rPr>
          <w:rFonts w:eastAsia="Times New Roman"/>
          <w:lang w:val="en-US" w:eastAsia="en-US"/>
        </w:rPr>
        <w:t xml:space="preserve">From the ATIAS WID [1] there is a clear mandate that </w:t>
      </w:r>
      <w:r>
        <w:t>the objective test procedures defined by ATIAS will extend the set of test methods</w:t>
      </w:r>
      <w:r w:rsidRPr="0034616F">
        <w:t xml:space="preserve"> in </w:t>
      </w:r>
      <w:r w:rsidRPr="00583667">
        <w:t>TS 26.</w:t>
      </w:r>
      <w:r w:rsidRPr="004436ED">
        <w:t xml:space="preserve">260 and </w:t>
      </w:r>
      <w:r>
        <w:t>leverage findings</w:t>
      </w:r>
      <w:r w:rsidRPr="0034616F">
        <w:t xml:space="preserve"> </w:t>
      </w:r>
      <w:r w:rsidRPr="00583667">
        <w:t>identified i</w:t>
      </w:r>
      <w:r w:rsidRPr="004436ED">
        <w:t>n TR</w:t>
      </w:r>
      <w:r w:rsidRPr="0034616F">
        <w:t xml:space="preserve"> 26.</w:t>
      </w:r>
      <w:r w:rsidRPr="004436ED">
        <w:t>861</w:t>
      </w:r>
      <w:r w:rsidRPr="0034616F">
        <w:t>.</w:t>
      </w:r>
    </w:p>
    <w:p w14:paraId="713EE613" w14:textId="2CE6FEF4" w:rsidR="007E4574" w:rsidRDefault="007E4574" w:rsidP="008F2C75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 xml:space="preserve">One might discuss whether it would be appropriate to provision a new specification </w:t>
      </w:r>
      <w:r w:rsidR="002B5DE3">
        <w:rPr>
          <w:rFonts w:eastAsia="Times New Roman"/>
          <w:lang w:val="en-US" w:eastAsia="en-US"/>
        </w:rPr>
        <w:t>(e.g., TS 26.262</w:t>
      </w:r>
      <w:r w:rsidR="005E7868">
        <w:rPr>
          <w:rFonts w:eastAsia="Times New Roman"/>
          <w:lang w:val="en-US" w:eastAsia="en-US"/>
        </w:rPr>
        <w:t xml:space="preserve"> if possible</w:t>
      </w:r>
      <w:r w:rsidR="002B5DE3">
        <w:rPr>
          <w:rFonts w:eastAsia="Times New Roman"/>
          <w:lang w:val="en-US" w:eastAsia="en-US"/>
        </w:rPr>
        <w:t xml:space="preserve">) </w:t>
      </w:r>
      <w:r>
        <w:rPr>
          <w:rFonts w:eastAsia="Times New Roman"/>
          <w:lang w:val="en-US" w:eastAsia="en-US"/>
        </w:rPr>
        <w:t xml:space="preserve">to collect all new test methods and get </w:t>
      </w:r>
      <w:r w:rsidR="005E7868">
        <w:rPr>
          <w:rFonts w:eastAsia="Times New Roman"/>
          <w:lang w:val="en-US" w:eastAsia="en-US"/>
        </w:rPr>
        <w:t>more</w:t>
      </w:r>
      <w:r>
        <w:rPr>
          <w:rFonts w:eastAsia="Times New Roman"/>
          <w:lang w:val="en-US" w:eastAsia="en-US"/>
        </w:rPr>
        <w:t xml:space="preserve"> freedom on structuring, keeping the hard constraint that </w:t>
      </w:r>
      <w:r w:rsidR="005E7868">
        <w:rPr>
          <w:rFonts w:eastAsia="Times New Roman"/>
          <w:lang w:val="en-US" w:eastAsia="en-US"/>
        </w:rPr>
        <w:t xml:space="preserve">test cases shall reuse and refer </w:t>
      </w:r>
      <w:r>
        <w:rPr>
          <w:rFonts w:eastAsia="Times New Roman"/>
          <w:lang w:val="en-US" w:eastAsia="en-US"/>
        </w:rPr>
        <w:t>to existing tests in TS 26.260</w:t>
      </w:r>
      <w:r w:rsidR="005E7868">
        <w:rPr>
          <w:rFonts w:eastAsia="Times New Roman"/>
          <w:lang w:val="en-US" w:eastAsia="en-US"/>
        </w:rPr>
        <w:t xml:space="preserve"> </w:t>
      </w:r>
      <w:r w:rsidR="007C2C91">
        <w:rPr>
          <w:rFonts w:eastAsia="Times New Roman"/>
          <w:lang w:val="en-US" w:eastAsia="en-US"/>
        </w:rPr>
        <w:t>whenever</w:t>
      </w:r>
      <w:r w:rsidR="005E7868">
        <w:rPr>
          <w:rFonts w:eastAsia="Times New Roman"/>
          <w:lang w:val="en-US" w:eastAsia="en-US"/>
        </w:rPr>
        <w:t xml:space="preserve"> possible</w:t>
      </w:r>
      <w:r>
        <w:rPr>
          <w:rFonts w:eastAsia="Times New Roman"/>
          <w:lang w:val="en-US" w:eastAsia="en-US"/>
        </w:rPr>
        <w:t>.</w:t>
      </w:r>
    </w:p>
    <w:p w14:paraId="1896ADE2" w14:textId="098D7BA8" w:rsidR="008F2C75" w:rsidRDefault="002B5DE3" w:rsidP="00092389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 xml:space="preserve">One option that might be more flexible and future-proof could be to </w:t>
      </w:r>
      <w:r w:rsidR="00651D08">
        <w:rPr>
          <w:rFonts w:eastAsia="Times New Roman"/>
          <w:lang w:val="en-US" w:eastAsia="en-US"/>
        </w:rPr>
        <w:t>use</w:t>
      </w:r>
      <w:r>
        <w:rPr>
          <w:rFonts w:eastAsia="Times New Roman"/>
          <w:lang w:val="en-US" w:eastAsia="en-US"/>
        </w:rPr>
        <w:t xml:space="preserve"> the following structure for the definition of test methods (based on the example of TS 26.132):</w:t>
      </w:r>
    </w:p>
    <w:p w14:paraId="52E13B82" w14:textId="77777777" w:rsidR="002B5DE3" w:rsidRPr="008F2C75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Introduction</w:t>
      </w:r>
    </w:p>
    <w:p w14:paraId="25B4C724" w14:textId="77777777" w:rsidR="002B5DE3" w:rsidRPr="008F2C75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1</w:t>
      </w:r>
      <w:r w:rsidRPr="008F2C75">
        <w:rPr>
          <w:rFonts w:eastAsia="Times New Roman"/>
          <w:color w:val="0070C0"/>
          <w:lang w:val="en-US" w:eastAsia="en-US"/>
        </w:rPr>
        <w:tab/>
        <w:t>Scope</w:t>
      </w:r>
    </w:p>
    <w:p w14:paraId="23486C8C" w14:textId="77777777" w:rsidR="002B5DE3" w:rsidRPr="008F2C75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2</w:t>
      </w:r>
      <w:r w:rsidRPr="008F2C75">
        <w:rPr>
          <w:rFonts w:eastAsia="Times New Roman"/>
          <w:color w:val="0070C0"/>
          <w:lang w:val="en-US" w:eastAsia="en-US"/>
        </w:rPr>
        <w:tab/>
        <w:t>References</w:t>
      </w:r>
    </w:p>
    <w:p w14:paraId="2C7900BD" w14:textId="77777777" w:rsidR="002B5DE3" w:rsidRPr="008F2C75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8F2C75">
        <w:rPr>
          <w:rFonts w:eastAsia="Times New Roman"/>
          <w:color w:val="0070C0"/>
          <w:lang w:val="en-US" w:eastAsia="en-US"/>
        </w:rPr>
        <w:t>3</w:t>
      </w:r>
      <w:r w:rsidRPr="008F2C75">
        <w:rPr>
          <w:rFonts w:eastAsia="Times New Roman"/>
          <w:color w:val="0070C0"/>
          <w:lang w:val="en-US" w:eastAsia="en-US"/>
        </w:rPr>
        <w:tab/>
        <w:t>Definitions, symbols and abbreviations</w:t>
      </w:r>
    </w:p>
    <w:p w14:paraId="79FAE267" w14:textId="183AD800" w:rsidR="002B5DE3" w:rsidRP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4</w:t>
      </w:r>
      <w:r w:rsidRPr="002B5DE3">
        <w:rPr>
          <w:rFonts w:eastAsia="Times New Roman"/>
          <w:color w:val="0070C0"/>
          <w:lang w:val="en-US" w:eastAsia="en-US"/>
        </w:rPr>
        <w:tab/>
        <w:t>Interface Definitions</w:t>
      </w:r>
    </w:p>
    <w:p w14:paraId="66CCDC6C" w14:textId="37EFCC3A" w:rsid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5</w:t>
      </w:r>
      <w:r w:rsidRPr="002B5DE3">
        <w:rPr>
          <w:rFonts w:eastAsia="Times New Roman"/>
          <w:color w:val="0070C0"/>
          <w:lang w:val="en-US" w:eastAsia="en-US"/>
        </w:rPr>
        <w:tab/>
        <w:t>Test configurations</w:t>
      </w:r>
    </w:p>
    <w:p w14:paraId="7110ECEF" w14:textId="21C34BFD" w:rsidR="002B5DE3" w:rsidRP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5.1</w:t>
      </w:r>
      <w:r w:rsidRPr="002B5DE3">
        <w:rPr>
          <w:rFonts w:eastAsia="Times New Roman"/>
          <w:color w:val="0070C0"/>
          <w:lang w:val="en-US" w:eastAsia="en-US"/>
        </w:rPr>
        <w:tab/>
        <w:t>Setup for terminal</w:t>
      </w:r>
      <w:r>
        <w:rPr>
          <w:rFonts w:eastAsia="Times New Roman"/>
          <w:color w:val="0070C0"/>
          <w:lang w:val="en-US" w:eastAsia="en-US"/>
        </w:rPr>
        <w:t>s</w:t>
      </w:r>
    </w:p>
    <w:p w14:paraId="75388F89" w14:textId="65D21A85" w:rsidR="002B5DE3" w:rsidRP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5.2</w:t>
      </w:r>
      <w:r w:rsidRPr="002B5DE3">
        <w:rPr>
          <w:rFonts w:eastAsia="Times New Roman"/>
          <w:color w:val="0070C0"/>
          <w:lang w:val="en-US" w:eastAsia="en-US"/>
        </w:rPr>
        <w:tab/>
        <w:t>Setup of the electrical interfaces of test equipment</w:t>
      </w:r>
    </w:p>
    <w:p w14:paraId="14E87DC9" w14:textId="311EEAE7" w:rsidR="002B5DE3" w:rsidRP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5.3</w:t>
      </w:r>
      <w:r w:rsidRPr="002B5DE3">
        <w:rPr>
          <w:rFonts w:eastAsia="Times New Roman"/>
          <w:color w:val="0070C0"/>
          <w:lang w:val="en-US" w:eastAsia="en-US"/>
        </w:rPr>
        <w:tab/>
        <w:t>Accuracy of test equipment</w:t>
      </w:r>
    </w:p>
    <w:p w14:paraId="362E3E7E" w14:textId="5274286E" w:rsidR="002B5DE3" w:rsidRP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5.4</w:t>
      </w:r>
      <w:r w:rsidRPr="002B5DE3">
        <w:rPr>
          <w:rFonts w:eastAsia="Times New Roman"/>
          <w:color w:val="0070C0"/>
          <w:lang w:val="en-US" w:eastAsia="en-US"/>
        </w:rPr>
        <w:tab/>
        <w:t>Test signals</w:t>
      </w:r>
    </w:p>
    <w:p w14:paraId="57F83857" w14:textId="47473290" w:rsid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6</w:t>
      </w:r>
      <w:r w:rsidRPr="002B5DE3">
        <w:rPr>
          <w:rFonts w:eastAsia="Times New Roman"/>
          <w:color w:val="0070C0"/>
          <w:lang w:val="en-US" w:eastAsia="en-US"/>
        </w:rPr>
        <w:tab/>
        <w:t>Test conditions</w:t>
      </w:r>
    </w:p>
    <w:p w14:paraId="5FBC8627" w14:textId="05EBFA83" w:rsidR="002B5DE3" w:rsidRP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6.1</w:t>
      </w:r>
      <w:r w:rsidRPr="002B5DE3">
        <w:rPr>
          <w:rFonts w:eastAsia="Times New Roman"/>
          <w:color w:val="0070C0"/>
          <w:lang w:val="en-US" w:eastAsia="en-US"/>
        </w:rPr>
        <w:tab/>
        <w:t>Environmental condition</w:t>
      </w:r>
      <w:r>
        <w:rPr>
          <w:rFonts w:eastAsia="Times New Roman"/>
          <w:color w:val="0070C0"/>
          <w:lang w:val="en-US" w:eastAsia="en-US"/>
        </w:rPr>
        <w:t>s</w:t>
      </w:r>
    </w:p>
    <w:p w14:paraId="7764EF19" w14:textId="42795758" w:rsid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 w:rsidRPr="002B5DE3">
        <w:rPr>
          <w:rFonts w:eastAsia="Times New Roman"/>
          <w:color w:val="0070C0"/>
          <w:lang w:val="en-US" w:eastAsia="en-US"/>
        </w:rPr>
        <w:t>6.2</w:t>
      </w:r>
      <w:r w:rsidRPr="002B5DE3">
        <w:rPr>
          <w:rFonts w:eastAsia="Times New Roman"/>
          <w:color w:val="0070C0"/>
          <w:lang w:val="en-US" w:eastAsia="en-US"/>
        </w:rPr>
        <w:tab/>
        <w:t>System simulator conditions</w:t>
      </w:r>
    </w:p>
    <w:p w14:paraId="4418B3A5" w14:textId="7D5C6330" w:rsidR="002B5DE3" w:rsidRDefault="001E1441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>
        <w:rPr>
          <w:rFonts w:eastAsia="Times New Roman"/>
          <w:color w:val="0070C0"/>
          <w:lang w:val="en-US" w:eastAsia="en-US"/>
        </w:rPr>
        <w:t>X</w:t>
      </w:r>
      <w:r w:rsidR="002B5DE3" w:rsidRPr="002B5DE3">
        <w:rPr>
          <w:rFonts w:eastAsia="Times New Roman"/>
          <w:color w:val="0070C0"/>
          <w:lang w:val="en-US" w:eastAsia="en-US"/>
        </w:rPr>
        <w:tab/>
        <w:t>[</w:t>
      </w:r>
      <w:r w:rsidR="002B5DE3" w:rsidRPr="002B5DE3">
        <w:rPr>
          <w:rFonts w:eastAsia="Times New Roman"/>
          <w:color w:val="0070C0"/>
          <w:highlight w:val="yellow"/>
          <w:lang w:val="en-US" w:eastAsia="en-US"/>
        </w:rPr>
        <w:t>Test methods for audio type#1</w:t>
      </w:r>
      <w:r w:rsidR="002B5DE3">
        <w:rPr>
          <w:rFonts w:eastAsia="Times New Roman"/>
          <w:color w:val="0070C0"/>
          <w:lang w:val="en-US" w:eastAsia="en-US"/>
        </w:rPr>
        <w:t>]</w:t>
      </w:r>
    </w:p>
    <w:p w14:paraId="65B65CEA" w14:textId="7078EC4A" w:rsidR="002B5DE3" w:rsidRDefault="001E1441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>
        <w:rPr>
          <w:rFonts w:eastAsia="Times New Roman"/>
          <w:color w:val="0070C0"/>
          <w:lang w:val="en-US" w:eastAsia="en-US"/>
        </w:rPr>
        <w:t>X</w:t>
      </w:r>
      <w:r w:rsidR="002B5DE3" w:rsidRPr="008F2C75">
        <w:rPr>
          <w:rFonts w:eastAsia="Times New Roman"/>
          <w:color w:val="0070C0"/>
          <w:lang w:val="en-US" w:eastAsia="en-US"/>
        </w:rPr>
        <w:t>.1</w:t>
      </w:r>
      <w:r w:rsidR="002B5DE3" w:rsidRPr="008F2C75">
        <w:rPr>
          <w:rFonts w:eastAsia="Times New Roman"/>
          <w:color w:val="0070C0"/>
          <w:lang w:val="en-US" w:eastAsia="en-US"/>
        </w:rPr>
        <w:tab/>
      </w:r>
      <w:r w:rsidR="002B5DE3">
        <w:rPr>
          <w:rFonts w:eastAsia="Times New Roman"/>
          <w:color w:val="0070C0"/>
          <w:lang w:val="en-US" w:eastAsia="en-US"/>
        </w:rPr>
        <w:t>Applicability</w:t>
      </w:r>
    </w:p>
    <w:p w14:paraId="0BED6F1B" w14:textId="2B711278" w:rsidR="002B5DE3" w:rsidRPr="002B5DE3" w:rsidRDefault="001E1441" w:rsidP="002B5DE3">
      <w:pPr>
        <w:widowControl w:val="0"/>
        <w:spacing w:after="120" w:line="240" w:lineRule="atLeast"/>
        <w:rPr>
          <w:rFonts w:eastAsia="Times New Roman"/>
          <w:color w:val="4F81BD" w:themeColor="accent1"/>
          <w:lang w:val="en-US" w:eastAsia="en-US"/>
        </w:rPr>
      </w:pPr>
      <w:r>
        <w:rPr>
          <w:rFonts w:eastAsia="Times New Roman"/>
          <w:color w:val="4F81BD" w:themeColor="accent1"/>
          <w:lang w:val="en-US" w:eastAsia="en-US"/>
        </w:rPr>
        <w:t>X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.2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ab/>
        <w:t>[</w:t>
      </w:r>
      <w:r w:rsidR="002B5DE3" w:rsidRPr="002B5DE3">
        <w:rPr>
          <w:rFonts w:eastAsia="Times New Roman"/>
          <w:color w:val="4F81BD" w:themeColor="accent1"/>
          <w:highlight w:val="yellow"/>
          <w:lang w:val="en-US" w:eastAsia="en-US"/>
        </w:rPr>
        <w:t>Test case #1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]</w:t>
      </w:r>
    </w:p>
    <w:p w14:paraId="1452EE82" w14:textId="2E3FB05D" w:rsidR="002B5DE3" w:rsidRPr="002B5DE3" w:rsidRDefault="001E1441" w:rsidP="002B5DE3">
      <w:pPr>
        <w:widowControl w:val="0"/>
        <w:spacing w:after="120" w:line="240" w:lineRule="atLeast"/>
        <w:rPr>
          <w:rFonts w:eastAsia="Times New Roman"/>
          <w:color w:val="4F81BD" w:themeColor="accent1"/>
          <w:lang w:val="en-US" w:eastAsia="en-US"/>
        </w:rPr>
      </w:pPr>
      <w:r>
        <w:rPr>
          <w:rFonts w:eastAsia="Times New Roman"/>
          <w:color w:val="4F81BD" w:themeColor="accent1"/>
          <w:lang w:val="en-US" w:eastAsia="en-US"/>
        </w:rPr>
        <w:t>X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.</w:t>
      </w:r>
      <w:r>
        <w:rPr>
          <w:rFonts w:eastAsia="Times New Roman"/>
          <w:color w:val="4F81BD" w:themeColor="accent1"/>
          <w:lang w:val="en-US" w:eastAsia="en-US"/>
        </w:rPr>
        <w:t>3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ab/>
        <w:t>[</w:t>
      </w:r>
      <w:r w:rsidR="002B5DE3" w:rsidRPr="002B5DE3">
        <w:rPr>
          <w:rFonts w:eastAsia="Times New Roman"/>
          <w:color w:val="4F81BD" w:themeColor="accent1"/>
          <w:highlight w:val="yellow"/>
          <w:lang w:val="en-US" w:eastAsia="en-US"/>
        </w:rPr>
        <w:t>Test case #2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]</w:t>
      </w:r>
    </w:p>
    <w:p w14:paraId="3CC975B7" w14:textId="7A5FF522" w:rsidR="002B5DE3" w:rsidRDefault="001E1441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>
        <w:rPr>
          <w:rFonts w:eastAsia="Times New Roman"/>
          <w:color w:val="0070C0"/>
          <w:lang w:val="en-US" w:eastAsia="en-US"/>
        </w:rPr>
        <w:t>Y</w:t>
      </w:r>
      <w:r w:rsidR="002B5DE3" w:rsidRPr="002B5DE3">
        <w:rPr>
          <w:rFonts w:eastAsia="Times New Roman"/>
          <w:color w:val="0070C0"/>
          <w:lang w:val="en-US" w:eastAsia="en-US"/>
        </w:rPr>
        <w:tab/>
        <w:t>[</w:t>
      </w:r>
      <w:r w:rsidR="002B5DE3" w:rsidRPr="002B5DE3">
        <w:rPr>
          <w:rFonts w:eastAsia="Times New Roman"/>
          <w:color w:val="0070C0"/>
          <w:highlight w:val="yellow"/>
          <w:lang w:val="en-US" w:eastAsia="en-US"/>
        </w:rPr>
        <w:t>Test methods for audio type#</w:t>
      </w:r>
      <w:r w:rsidR="002B5DE3" w:rsidRPr="00A13128">
        <w:rPr>
          <w:rFonts w:eastAsia="Times New Roman"/>
          <w:color w:val="0070C0"/>
          <w:highlight w:val="yellow"/>
          <w:lang w:val="en-US" w:eastAsia="en-US"/>
        </w:rPr>
        <w:t>2</w:t>
      </w:r>
      <w:r w:rsidR="002B5DE3">
        <w:rPr>
          <w:rFonts w:eastAsia="Times New Roman"/>
          <w:color w:val="0070C0"/>
          <w:lang w:val="en-US" w:eastAsia="en-US"/>
        </w:rPr>
        <w:t>]</w:t>
      </w:r>
    </w:p>
    <w:p w14:paraId="17B5C081" w14:textId="57C256D0" w:rsidR="002B5DE3" w:rsidRDefault="001E1441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  <w:r>
        <w:rPr>
          <w:rFonts w:eastAsia="Times New Roman"/>
          <w:color w:val="0070C0"/>
          <w:lang w:val="en-US" w:eastAsia="en-US"/>
        </w:rPr>
        <w:t>Y</w:t>
      </w:r>
      <w:r w:rsidR="002B5DE3" w:rsidRPr="008F2C75">
        <w:rPr>
          <w:rFonts w:eastAsia="Times New Roman"/>
          <w:color w:val="0070C0"/>
          <w:lang w:val="en-US" w:eastAsia="en-US"/>
        </w:rPr>
        <w:t>.1</w:t>
      </w:r>
      <w:r w:rsidR="002B5DE3" w:rsidRPr="008F2C75">
        <w:rPr>
          <w:rFonts w:eastAsia="Times New Roman"/>
          <w:color w:val="0070C0"/>
          <w:lang w:val="en-US" w:eastAsia="en-US"/>
        </w:rPr>
        <w:tab/>
      </w:r>
      <w:r w:rsidR="002B5DE3">
        <w:rPr>
          <w:rFonts w:eastAsia="Times New Roman"/>
          <w:color w:val="0070C0"/>
          <w:lang w:val="en-US" w:eastAsia="en-US"/>
        </w:rPr>
        <w:t>Applicability</w:t>
      </w:r>
    </w:p>
    <w:p w14:paraId="32A6D23B" w14:textId="0FD721FA" w:rsidR="002B5DE3" w:rsidRPr="002B5DE3" w:rsidRDefault="001E1441" w:rsidP="002B5DE3">
      <w:pPr>
        <w:widowControl w:val="0"/>
        <w:spacing w:after="120" w:line="240" w:lineRule="atLeast"/>
        <w:rPr>
          <w:rFonts w:eastAsia="Times New Roman"/>
          <w:color w:val="4F81BD" w:themeColor="accent1"/>
          <w:lang w:val="en-US" w:eastAsia="en-US"/>
        </w:rPr>
      </w:pPr>
      <w:r>
        <w:rPr>
          <w:rFonts w:eastAsia="Times New Roman"/>
          <w:color w:val="4F81BD" w:themeColor="accent1"/>
          <w:lang w:val="en-US" w:eastAsia="en-US"/>
        </w:rPr>
        <w:t>Y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.2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ab/>
        <w:t>[</w:t>
      </w:r>
      <w:r w:rsidR="002B5DE3" w:rsidRPr="002B5DE3">
        <w:rPr>
          <w:rFonts w:eastAsia="Times New Roman"/>
          <w:color w:val="4F81BD" w:themeColor="accent1"/>
          <w:highlight w:val="yellow"/>
          <w:lang w:val="en-US" w:eastAsia="en-US"/>
        </w:rPr>
        <w:t>Test case #1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]</w:t>
      </w:r>
    </w:p>
    <w:p w14:paraId="44DBF235" w14:textId="67B9D77D" w:rsidR="002B5DE3" w:rsidRPr="002B5DE3" w:rsidRDefault="001E1441" w:rsidP="002B5DE3">
      <w:pPr>
        <w:widowControl w:val="0"/>
        <w:spacing w:after="120" w:line="240" w:lineRule="atLeast"/>
        <w:rPr>
          <w:rFonts w:eastAsia="Times New Roman"/>
          <w:color w:val="4F81BD" w:themeColor="accent1"/>
          <w:lang w:val="en-US" w:eastAsia="en-US"/>
        </w:rPr>
      </w:pPr>
      <w:r>
        <w:rPr>
          <w:rFonts w:eastAsia="Times New Roman"/>
          <w:color w:val="4F81BD" w:themeColor="accent1"/>
          <w:lang w:val="en-US" w:eastAsia="en-US"/>
        </w:rPr>
        <w:t>Y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.</w:t>
      </w:r>
      <w:r>
        <w:rPr>
          <w:rFonts w:eastAsia="Times New Roman"/>
          <w:color w:val="4F81BD" w:themeColor="accent1"/>
          <w:lang w:val="en-US" w:eastAsia="en-US"/>
        </w:rPr>
        <w:t>3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ab/>
        <w:t>[</w:t>
      </w:r>
      <w:r w:rsidR="002B5DE3" w:rsidRPr="002B5DE3">
        <w:rPr>
          <w:rFonts w:eastAsia="Times New Roman"/>
          <w:color w:val="4F81BD" w:themeColor="accent1"/>
          <w:highlight w:val="yellow"/>
          <w:lang w:val="en-US" w:eastAsia="en-US"/>
        </w:rPr>
        <w:t>Test case #2</w:t>
      </w:r>
      <w:r w:rsidR="002B5DE3" w:rsidRPr="002B5DE3">
        <w:rPr>
          <w:rFonts w:eastAsia="Times New Roman"/>
          <w:color w:val="4F81BD" w:themeColor="accent1"/>
          <w:lang w:val="en-US" w:eastAsia="en-US"/>
        </w:rPr>
        <w:t>]</w:t>
      </w:r>
    </w:p>
    <w:p w14:paraId="50928C83" w14:textId="411DA874" w:rsidR="002B5DE3" w:rsidRDefault="002B5DE3" w:rsidP="002B5DE3">
      <w:pPr>
        <w:widowControl w:val="0"/>
        <w:spacing w:after="120" w:line="240" w:lineRule="atLeast"/>
        <w:rPr>
          <w:rFonts w:eastAsia="Times New Roman"/>
          <w:color w:val="0070C0"/>
          <w:lang w:val="en-US" w:eastAsia="en-US"/>
        </w:rPr>
      </w:pPr>
    </w:p>
    <w:p w14:paraId="48069F64" w14:textId="16959849" w:rsidR="002B5DE3" w:rsidRDefault="002B5DE3" w:rsidP="00092389">
      <w:pPr>
        <w:rPr>
          <w:lang w:val="en-US" w:eastAsia="en-US"/>
        </w:rPr>
      </w:pPr>
      <w:r w:rsidRPr="002B5DE3">
        <w:rPr>
          <w:lang w:val="en-US" w:eastAsia="en-US"/>
        </w:rPr>
        <w:t>where audio types could be stereo, multichannel, scene-based, object-based audio, etc.</w:t>
      </w:r>
    </w:p>
    <w:p w14:paraId="297043AE" w14:textId="6E9629C1" w:rsidR="002B5DE3" w:rsidRDefault="002B5DE3" w:rsidP="00092389">
      <w:pPr>
        <w:rPr>
          <w:lang w:eastAsia="en-US"/>
        </w:rPr>
      </w:pPr>
    </w:p>
    <w:p w14:paraId="066C00FB" w14:textId="7BB31C8A" w:rsidR="008F2C75" w:rsidRDefault="00092389" w:rsidP="00092389">
      <w:pPr>
        <w:rPr>
          <w:lang w:eastAsia="en-US"/>
        </w:rPr>
      </w:pPr>
      <w:r>
        <w:rPr>
          <w:lang w:eastAsia="en-US"/>
        </w:rPr>
        <w:lastRenderedPageBreak/>
        <w:t xml:space="preserve">The issue of </w:t>
      </w:r>
      <w:r w:rsidR="00A13128">
        <w:rPr>
          <w:lang w:eastAsia="en-US"/>
        </w:rPr>
        <w:t xml:space="preserve">specification </w:t>
      </w:r>
      <w:r>
        <w:rPr>
          <w:lang w:eastAsia="en-US"/>
        </w:rPr>
        <w:t xml:space="preserve">structuring has </w:t>
      </w:r>
      <w:r w:rsidR="00A13128">
        <w:rPr>
          <w:lang w:eastAsia="en-US"/>
        </w:rPr>
        <w:t>already</w:t>
      </w:r>
      <w:r>
        <w:rPr>
          <w:lang w:eastAsia="en-US"/>
        </w:rPr>
        <w:t xml:space="preserve"> been discussed in the context of [6] and [7]. </w:t>
      </w:r>
      <w:r w:rsidR="00F77C19">
        <w:rPr>
          <w:lang w:eastAsia="en-US"/>
        </w:rPr>
        <w:t>It may be appropriate to revisit this topic</w:t>
      </w:r>
      <w:r w:rsidR="004B1FA6">
        <w:rPr>
          <w:lang w:eastAsia="en-US"/>
        </w:rPr>
        <w:t xml:space="preserve"> in the light of latest IVAS codec requirements</w:t>
      </w:r>
      <w:r w:rsidR="00A13128">
        <w:rPr>
          <w:lang w:eastAsia="en-US"/>
        </w:rPr>
        <w:t xml:space="preserve"> where audio types are now </w:t>
      </w:r>
      <w:r w:rsidR="009622CF">
        <w:rPr>
          <w:lang w:eastAsia="en-US"/>
        </w:rPr>
        <w:t>getting clearer</w:t>
      </w:r>
      <w:r w:rsidR="00F77C19">
        <w:rPr>
          <w:lang w:eastAsia="en-US"/>
        </w:rPr>
        <w:t>.</w:t>
      </w:r>
    </w:p>
    <w:p w14:paraId="361827D9" w14:textId="77777777" w:rsidR="00092389" w:rsidRPr="00092389" w:rsidRDefault="00092389" w:rsidP="00092389">
      <w:pPr>
        <w:rPr>
          <w:lang w:eastAsia="en-US"/>
        </w:rPr>
      </w:pPr>
    </w:p>
    <w:p w14:paraId="6AA90737" w14:textId="7C0EAD34" w:rsidR="008F2C75" w:rsidRPr="001E380F" w:rsidRDefault="008F2C75" w:rsidP="008F2C75">
      <w:pPr>
        <w:keepNext/>
        <w:widowControl w:val="0"/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References</w:t>
      </w:r>
    </w:p>
    <w:p w14:paraId="214E3BA5" w14:textId="3EEFBEE3" w:rsidR="00230F5E" w:rsidRDefault="00230F5E" w:rsidP="00827A71">
      <w:pPr>
        <w:pStyle w:val="Paragraphedeliste"/>
        <w:numPr>
          <w:ilvl w:val="0"/>
          <w:numId w:val="24"/>
        </w:numPr>
        <w:rPr>
          <w:lang w:val="en-US" w:eastAsia="en-US"/>
        </w:rPr>
      </w:pPr>
      <w:r>
        <w:rPr>
          <w:lang w:val="en-US" w:eastAsia="en-US"/>
        </w:rPr>
        <w:t xml:space="preserve">SP-190040, New WID on </w:t>
      </w:r>
      <w:r w:rsidRPr="00230F5E">
        <w:rPr>
          <w:lang w:val="en-US" w:eastAsia="en-US"/>
        </w:rPr>
        <w:t>Terminal Audio quality performance and Test methods for Immersive Audio Services</w:t>
      </w:r>
      <w:r>
        <w:rPr>
          <w:lang w:val="en-US" w:eastAsia="en-US"/>
        </w:rPr>
        <w:t xml:space="preserve">, Sources: </w:t>
      </w:r>
      <w:r w:rsidRPr="00230F5E">
        <w:rPr>
          <w:lang w:val="en-US" w:eastAsia="en-US"/>
        </w:rPr>
        <w:t>Orange, Deutsche Telekom AG, HEAD acoustics GmbH, Dolby Laboratories Inc., Nokia, Fraunhofer IIS</w:t>
      </w:r>
    </w:p>
    <w:p w14:paraId="3B3E9363" w14:textId="7BCDCD69" w:rsidR="008F2C75" w:rsidRPr="00827A71" w:rsidRDefault="008F2C75" w:rsidP="00827A71">
      <w:pPr>
        <w:pStyle w:val="Paragraphedeliste"/>
        <w:numPr>
          <w:ilvl w:val="0"/>
          <w:numId w:val="24"/>
        </w:numPr>
        <w:rPr>
          <w:lang w:val="en-US" w:eastAsia="en-US"/>
        </w:rPr>
      </w:pPr>
      <w:r w:rsidRPr="00827A71">
        <w:rPr>
          <w:lang w:val="en-US" w:eastAsia="en-US"/>
        </w:rPr>
        <w:t>3GPP TS 26.260, Objective test methodologies for the evaluation of immersive audio systems</w:t>
      </w:r>
    </w:p>
    <w:p w14:paraId="505CB19A" w14:textId="03D16CB5" w:rsidR="008F2C75" w:rsidRPr="00092389" w:rsidRDefault="008F2C75" w:rsidP="00827A71">
      <w:pPr>
        <w:pStyle w:val="Paragraphedeliste"/>
        <w:numPr>
          <w:ilvl w:val="0"/>
          <w:numId w:val="24"/>
        </w:numPr>
        <w:rPr>
          <w:lang w:val="en-US" w:eastAsia="en-US"/>
        </w:rPr>
      </w:pPr>
      <w:r w:rsidRPr="00827A71">
        <w:rPr>
          <w:lang w:val="en-US" w:eastAsia="en-US"/>
        </w:rPr>
        <w:t>S4-190</w:t>
      </w:r>
      <w:r w:rsidR="00B5743E">
        <w:rPr>
          <w:lang w:val="en-US" w:eastAsia="en-US"/>
        </w:rPr>
        <w:t>543</w:t>
      </w:r>
      <w:r w:rsidRPr="00827A71">
        <w:rPr>
          <w:lang w:val="en-US" w:eastAsia="en-US"/>
        </w:rPr>
        <w:t xml:space="preserve">, </w:t>
      </w:r>
      <w:r w:rsidR="00B5743E">
        <w:rPr>
          <w:lang w:val="en-US" w:eastAsia="en-US"/>
        </w:rPr>
        <w:t xml:space="preserve">TS 26.261: </w:t>
      </w:r>
      <w:r w:rsidR="00B5743E" w:rsidRPr="00B5743E">
        <w:rPr>
          <w:lang w:val="en-US" w:eastAsia="en-US"/>
        </w:rPr>
        <w:t xml:space="preserve">Terminal audio quality performance requirements for immersive </w:t>
      </w:r>
      <w:r w:rsidR="00B5743E" w:rsidRPr="00092389">
        <w:rPr>
          <w:lang w:val="en-US" w:eastAsia="en-US"/>
        </w:rPr>
        <w:t>audio services, v0.0.1</w:t>
      </w:r>
    </w:p>
    <w:p w14:paraId="410AD785" w14:textId="77777777" w:rsidR="00092389" w:rsidRPr="00092389" w:rsidRDefault="00092389" w:rsidP="00092389">
      <w:pPr>
        <w:pStyle w:val="Paragraphedeliste"/>
        <w:numPr>
          <w:ilvl w:val="0"/>
          <w:numId w:val="24"/>
        </w:numPr>
        <w:rPr>
          <w:lang w:val="en-US" w:eastAsia="en-US"/>
        </w:rPr>
      </w:pPr>
      <w:r w:rsidRPr="00092389">
        <w:rPr>
          <w:lang w:val="en-US" w:eastAsia="en-US"/>
        </w:rPr>
        <w:t>SP-220241, New WID on New WID on immersive Real-time Communication for WebRTC, Source: Facebook, NTT, Qualcomm Incorporated, Dolby, KPN N.V., MediaTek Inc., TELUS, Xiaomi, Verizon UK Ltd, Tencent, Nokia Corporation, T-Mobile USA, China Mobile Communications Corporation, China Telecom Corporation Ltd., Motorola Mobility UK Ltd., AT&amp;T, Samsung Electronics Co., Ltd, Orange, Fraunhofer IIS</w:t>
      </w:r>
    </w:p>
    <w:p w14:paraId="1444044B" w14:textId="01C2EB7A" w:rsidR="00CC4E63" w:rsidRPr="00092389" w:rsidRDefault="00092389" w:rsidP="00092389">
      <w:pPr>
        <w:pStyle w:val="Paragraphedeliste"/>
        <w:numPr>
          <w:ilvl w:val="0"/>
          <w:numId w:val="24"/>
        </w:numPr>
        <w:rPr>
          <w:lang w:val="en-US" w:eastAsia="en-US"/>
        </w:rPr>
      </w:pPr>
      <w:r w:rsidRPr="00092389">
        <w:rPr>
          <w:lang w:val="en-US" w:eastAsia="en-US"/>
        </w:rPr>
        <w:t xml:space="preserve">SP-220242, New WID on </w:t>
      </w:r>
      <w:r w:rsidRPr="00092389">
        <w:t>Media Capabilities for Augmented Reality, Source: Xiaomi, Qualcomm Incorporated, Samsung Electronics Co., Ltd, AT&amp;T, MediaTek, Dolby Laboratories Inc., Tencent, Nokia Corporation, InterDigital Communications, KPN N.V, Facebook, Fraunhofer IIS, VoiceAge Corporation, Orange, Ericsson LM</w:t>
      </w:r>
    </w:p>
    <w:p w14:paraId="5198C1A6" w14:textId="65EFB9E9" w:rsidR="00092389" w:rsidRPr="00092389" w:rsidRDefault="00092389" w:rsidP="00827A71">
      <w:pPr>
        <w:pStyle w:val="Paragraphedeliste"/>
        <w:numPr>
          <w:ilvl w:val="0"/>
          <w:numId w:val="24"/>
        </w:numPr>
        <w:rPr>
          <w:lang w:val="en-US" w:eastAsia="en-US"/>
        </w:rPr>
      </w:pPr>
      <w:r w:rsidRPr="00092389">
        <w:rPr>
          <w:lang w:val="en-US" w:eastAsia="en-US"/>
        </w:rPr>
        <w:t>S4-AHQ144, ATIAS Contents, Source: Fraunhofer IIS</w:t>
      </w:r>
    </w:p>
    <w:p w14:paraId="38BC0446" w14:textId="1DF59CA5" w:rsidR="00092389" w:rsidRPr="009C1CEF" w:rsidRDefault="00092389" w:rsidP="00827A71">
      <w:pPr>
        <w:pStyle w:val="Paragraphedeliste"/>
        <w:numPr>
          <w:ilvl w:val="0"/>
          <w:numId w:val="24"/>
        </w:numPr>
        <w:rPr>
          <w:lang w:val="en-US" w:eastAsia="en-US"/>
        </w:rPr>
      </w:pPr>
      <w:r w:rsidRPr="009C1CEF">
        <w:rPr>
          <w:lang w:val="en-US" w:eastAsia="en-US"/>
        </w:rPr>
        <w:t>S4-191180, ATIAS Contents, Source: Fraunhofer IIS</w:t>
      </w:r>
    </w:p>
    <w:p w14:paraId="0E5D5C19" w14:textId="1D8C1824" w:rsidR="004B1FA6" w:rsidRPr="009C1CEF" w:rsidRDefault="009C1CEF" w:rsidP="00827A71">
      <w:pPr>
        <w:pStyle w:val="Paragraphedeliste"/>
        <w:numPr>
          <w:ilvl w:val="0"/>
          <w:numId w:val="24"/>
        </w:numPr>
        <w:rPr>
          <w:lang w:val="en-US" w:eastAsia="en-US"/>
        </w:rPr>
      </w:pPr>
      <w:r w:rsidRPr="009C1CEF">
        <w:rPr>
          <w:lang w:val="en-US" w:eastAsia="en-US"/>
        </w:rPr>
        <w:t>S4-220551, IVAS Design Constraints (IVAS-4), v0.4.0, Source: Editor (</w:t>
      </w:r>
      <w:r w:rsidRPr="009C1CEF">
        <w:t>Huawei Technologies Co Ltd</w:t>
      </w:r>
      <w:r w:rsidRPr="009C1CEF">
        <w:rPr>
          <w:lang w:val="en-US" w:eastAsia="en-US"/>
        </w:rPr>
        <w:t>)</w:t>
      </w:r>
    </w:p>
    <w:p w14:paraId="4AB598E7" w14:textId="77777777" w:rsidR="008F2C75" w:rsidRPr="00CC4E63" w:rsidRDefault="008F2C75" w:rsidP="007772B1">
      <w:pPr>
        <w:keepNext/>
        <w:keepLines/>
        <w:spacing w:before="120" w:after="180" w:line="240" w:lineRule="auto"/>
        <w:ind w:left="1134" w:hanging="1134"/>
        <w:outlineLvl w:val="2"/>
        <w:rPr>
          <w:rFonts w:eastAsia="Times New Roman"/>
          <w:lang w:val="en-US" w:eastAsia="en-US"/>
        </w:rPr>
      </w:pPr>
    </w:p>
    <w:sectPr w:rsidR="008F2C75" w:rsidRPr="00CC4E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216F9" w14:textId="77777777" w:rsidR="009152F6" w:rsidRDefault="009152F6">
      <w:pPr>
        <w:spacing w:line="240" w:lineRule="auto"/>
      </w:pPr>
      <w:r>
        <w:separator/>
      </w:r>
    </w:p>
  </w:endnote>
  <w:endnote w:type="continuationSeparator" w:id="0">
    <w:p w14:paraId="1C2F2B02" w14:textId="77777777" w:rsidR="009152F6" w:rsidRDefault="009152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E4FE" w14:textId="77777777" w:rsidR="002A3C17" w:rsidRDefault="002A3C1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1515D" w14:textId="50A51530" w:rsidR="008F2C75" w:rsidRDefault="008F2C7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9754" w14:textId="77777777" w:rsidR="002A3C17" w:rsidRDefault="002A3C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6D87E" w14:textId="77777777" w:rsidR="009152F6" w:rsidRDefault="009152F6">
      <w:pPr>
        <w:spacing w:line="240" w:lineRule="auto"/>
      </w:pPr>
      <w:r>
        <w:separator/>
      </w:r>
    </w:p>
  </w:footnote>
  <w:footnote w:type="continuationSeparator" w:id="0">
    <w:p w14:paraId="596EDDD3" w14:textId="77777777" w:rsidR="009152F6" w:rsidRDefault="009152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B1755" w14:textId="77777777" w:rsidR="002A3C17" w:rsidRDefault="002A3C1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C58C" w14:textId="3ADE5491" w:rsidR="001E380F" w:rsidRDefault="001E380F" w:rsidP="005F0B53">
    <w:pPr>
      <w:tabs>
        <w:tab w:val="right" w:pos="9356"/>
      </w:tabs>
      <w:rPr>
        <w:b/>
        <w:i/>
      </w:rPr>
    </w:pPr>
    <w:r>
      <w:rPr>
        <w:lang w:val="en-US"/>
      </w:rPr>
      <w:t>3GPP TSG SA WG4#11</w:t>
    </w:r>
    <w:r w:rsidR="00695928">
      <w:rPr>
        <w:lang w:val="en-US"/>
      </w:rPr>
      <w:t>9</w:t>
    </w:r>
    <w:r>
      <w:rPr>
        <w:lang w:val="en-US"/>
      </w:rPr>
      <w:t>-e meeting</w:t>
    </w:r>
    <w:r>
      <w:rPr>
        <w:b/>
        <w:i/>
      </w:rPr>
      <w:tab/>
    </w:r>
    <w:r>
      <w:rPr>
        <w:b/>
        <w:i/>
        <w:sz w:val="28"/>
        <w:szCs w:val="28"/>
      </w:rPr>
      <w:t>Tdoc S4-2</w:t>
    </w:r>
    <w:r w:rsidR="00695928">
      <w:rPr>
        <w:b/>
        <w:i/>
        <w:sz w:val="28"/>
        <w:szCs w:val="28"/>
      </w:rPr>
      <w:t>20</w:t>
    </w:r>
    <w:r w:rsidR="002A3C17">
      <w:rPr>
        <w:b/>
        <w:i/>
        <w:sz w:val="28"/>
        <w:szCs w:val="28"/>
      </w:rPr>
      <w:t>725</w:t>
    </w:r>
  </w:p>
  <w:p w14:paraId="5F223166" w14:textId="7D6DC260" w:rsidR="001E380F" w:rsidRPr="00D75D82" w:rsidRDefault="001E380F" w:rsidP="005F0B53">
    <w:pPr>
      <w:tabs>
        <w:tab w:val="left" w:pos="4460"/>
      </w:tabs>
      <w:rPr>
        <w:b/>
      </w:rPr>
    </w:pPr>
    <w:r>
      <w:rPr>
        <w:lang w:eastAsia="zh-CN"/>
      </w:rPr>
      <w:t>1</w:t>
    </w:r>
    <w:r w:rsidR="00695928">
      <w:rPr>
        <w:lang w:eastAsia="zh-CN"/>
      </w:rPr>
      <w:t>1</w:t>
    </w:r>
    <w:r>
      <w:rPr>
        <w:vertAlign w:val="superscript"/>
        <w:lang w:eastAsia="zh-CN"/>
      </w:rPr>
      <w:t>th</w:t>
    </w:r>
    <w:r>
      <w:rPr>
        <w:lang w:eastAsia="zh-CN"/>
      </w:rPr>
      <w:t xml:space="preserve"> – </w:t>
    </w:r>
    <w:r w:rsidR="00695928">
      <w:rPr>
        <w:lang w:eastAsia="zh-CN"/>
      </w:rPr>
      <w:t>20</w:t>
    </w:r>
    <w:r>
      <w:rPr>
        <w:vertAlign w:val="superscript"/>
        <w:lang w:eastAsia="zh-CN"/>
      </w:rPr>
      <w:t>th</w:t>
    </w:r>
    <w:r>
      <w:rPr>
        <w:lang w:eastAsia="zh-CN"/>
      </w:rPr>
      <w:t xml:space="preserve"> </w:t>
    </w:r>
    <w:r w:rsidR="00695928">
      <w:rPr>
        <w:lang w:eastAsia="zh-CN"/>
      </w:rPr>
      <w:t>May</w:t>
    </w:r>
    <w:r>
      <w:rPr>
        <w:lang w:eastAsia="zh-CN"/>
      </w:rPr>
      <w:t xml:space="preserve"> 202</w:t>
    </w:r>
    <w:r w:rsidR="00695928">
      <w:rPr>
        <w:lang w:eastAsia="zh-CN"/>
      </w:rPr>
      <w:t>2</w:t>
    </w:r>
    <w:r>
      <w:tab/>
    </w:r>
  </w:p>
  <w:p w14:paraId="3DCDEFF9" w14:textId="77777777" w:rsidR="001E380F" w:rsidRDefault="001E38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F037E" w14:textId="77777777" w:rsidR="002A3C17" w:rsidRDefault="002A3C1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6C9B"/>
    <w:multiLevelType w:val="hybridMultilevel"/>
    <w:tmpl w:val="69A41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362B3"/>
    <w:multiLevelType w:val="hybridMultilevel"/>
    <w:tmpl w:val="771CE2A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E57838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12A8A"/>
    <w:multiLevelType w:val="hybridMultilevel"/>
    <w:tmpl w:val="31D0874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8" w15:restartNumberingAfterBreak="0">
    <w:nsid w:val="2616414C"/>
    <w:multiLevelType w:val="hybridMultilevel"/>
    <w:tmpl w:val="96FEF7A6"/>
    <w:lvl w:ilvl="0" w:tplc="1DDCD87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748D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147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4C4450"/>
    <w:multiLevelType w:val="hybridMultilevel"/>
    <w:tmpl w:val="011AABC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D163F0F"/>
    <w:multiLevelType w:val="hybridMultilevel"/>
    <w:tmpl w:val="83E66D00"/>
    <w:lvl w:ilvl="0" w:tplc="3DEA905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16BFB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8B4EA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7A72F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592FB2"/>
    <w:multiLevelType w:val="hybridMultilevel"/>
    <w:tmpl w:val="ED2447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5"/>
  </w:num>
  <w:num w:numId="5">
    <w:abstractNumId w:val="4"/>
  </w:num>
  <w:num w:numId="6">
    <w:abstractNumId w:val="14"/>
  </w:num>
  <w:num w:numId="7">
    <w:abstractNumId w:val="3"/>
  </w:num>
  <w:num w:numId="8">
    <w:abstractNumId w:val="20"/>
  </w:num>
  <w:num w:numId="9">
    <w:abstractNumId w:val="22"/>
  </w:num>
  <w:num w:numId="10">
    <w:abstractNumId w:val="17"/>
  </w:num>
  <w:num w:numId="11">
    <w:abstractNumId w:val="8"/>
  </w:num>
  <w:num w:numId="12">
    <w:abstractNumId w:val="12"/>
  </w:num>
  <w:num w:numId="13">
    <w:abstractNumId w:val="24"/>
  </w:num>
  <w:num w:numId="14">
    <w:abstractNumId w:val="2"/>
  </w:num>
  <w:num w:numId="15">
    <w:abstractNumId w:val="11"/>
  </w:num>
  <w:num w:numId="16">
    <w:abstractNumId w:val="18"/>
  </w:num>
  <w:num w:numId="17">
    <w:abstractNumId w:val="9"/>
  </w:num>
  <w:num w:numId="18">
    <w:abstractNumId w:val="0"/>
  </w:num>
  <w:num w:numId="19">
    <w:abstractNumId w:val="21"/>
  </w:num>
  <w:num w:numId="20">
    <w:abstractNumId w:val="7"/>
  </w:num>
  <w:num w:numId="21">
    <w:abstractNumId w:val="1"/>
  </w:num>
  <w:num w:numId="22">
    <w:abstractNumId w:val="6"/>
  </w:num>
  <w:num w:numId="23">
    <w:abstractNumId w:val="13"/>
  </w:num>
  <w:num w:numId="24">
    <w:abstractNumId w:val="15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02F"/>
    <w:rsid w:val="00003E46"/>
    <w:rsid w:val="0001152D"/>
    <w:rsid w:val="00026327"/>
    <w:rsid w:val="00033B9F"/>
    <w:rsid w:val="000369CE"/>
    <w:rsid w:val="00043D55"/>
    <w:rsid w:val="00066484"/>
    <w:rsid w:val="000676B7"/>
    <w:rsid w:val="000801B7"/>
    <w:rsid w:val="00092389"/>
    <w:rsid w:val="000A05C8"/>
    <w:rsid w:val="000A272E"/>
    <w:rsid w:val="000A367F"/>
    <w:rsid w:val="000B1D1F"/>
    <w:rsid w:val="000C2FA8"/>
    <w:rsid w:val="00114838"/>
    <w:rsid w:val="0011745B"/>
    <w:rsid w:val="001229D6"/>
    <w:rsid w:val="00135E56"/>
    <w:rsid w:val="00161A5C"/>
    <w:rsid w:val="00163DE1"/>
    <w:rsid w:val="0016776B"/>
    <w:rsid w:val="0017122E"/>
    <w:rsid w:val="00182BDA"/>
    <w:rsid w:val="00190595"/>
    <w:rsid w:val="001C72E6"/>
    <w:rsid w:val="001D0A40"/>
    <w:rsid w:val="001D3334"/>
    <w:rsid w:val="001D5101"/>
    <w:rsid w:val="001E06A5"/>
    <w:rsid w:val="001E1441"/>
    <w:rsid w:val="001E380F"/>
    <w:rsid w:val="00204A74"/>
    <w:rsid w:val="00224580"/>
    <w:rsid w:val="00225F81"/>
    <w:rsid w:val="00230F5E"/>
    <w:rsid w:val="00231ACD"/>
    <w:rsid w:val="00241D97"/>
    <w:rsid w:val="0024392C"/>
    <w:rsid w:val="00251C53"/>
    <w:rsid w:val="0026098E"/>
    <w:rsid w:val="00261E61"/>
    <w:rsid w:val="00262697"/>
    <w:rsid w:val="002701CC"/>
    <w:rsid w:val="00273366"/>
    <w:rsid w:val="002769BC"/>
    <w:rsid w:val="002801DA"/>
    <w:rsid w:val="00281E77"/>
    <w:rsid w:val="00283E51"/>
    <w:rsid w:val="002842A6"/>
    <w:rsid w:val="00293E2A"/>
    <w:rsid w:val="0029798F"/>
    <w:rsid w:val="002A3C17"/>
    <w:rsid w:val="002A47A7"/>
    <w:rsid w:val="002B0783"/>
    <w:rsid w:val="002B5DE3"/>
    <w:rsid w:val="002B7137"/>
    <w:rsid w:val="002D248F"/>
    <w:rsid w:val="002D2EE2"/>
    <w:rsid w:val="002D7AEC"/>
    <w:rsid w:val="002F2032"/>
    <w:rsid w:val="002F42F8"/>
    <w:rsid w:val="00313A87"/>
    <w:rsid w:val="003233B3"/>
    <w:rsid w:val="00323BA2"/>
    <w:rsid w:val="00337F41"/>
    <w:rsid w:val="00341C8A"/>
    <w:rsid w:val="00364992"/>
    <w:rsid w:val="00365411"/>
    <w:rsid w:val="003A1956"/>
    <w:rsid w:val="003A291F"/>
    <w:rsid w:val="003A2B7D"/>
    <w:rsid w:val="003B6A61"/>
    <w:rsid w:val="003C36E4"/>
    <w:rsid w:val="003D44F2"/>
    <w:rsid w:val="003E5539"/>
    <w:rsid w:val="003F2559"/>
    <w:rsid w:val="00400E6C"/>
    <w:rsid w:val="00406196"/>
    <w:rsid w:val="0041295C"/>
    <w:rsid w:val="004137F3"/>
    <w:rsid w:val="00417617"/>
    <w:rsid w:val="00441356"/>
    <w:rsid w:val="0044173D"/>
    <w:rsid w:val="00443BE9"/>
    <w:rsid w:val="00450527"/>
    <w:rsid w:val="00452A2D"/>
    <w:rsid w:val="00480553"/>
    <w:rsid w:val="004A09A2"/>
    <w:rsid w:val="004A2377"/>
    <w:rsid w:val="004A4F31"/>
    <w:rsid w:val="004A5610"/>
    <w:rsid w:val="004A5BCA"/>
    <w:rsid w:val="004B1FA6"/>
    <w:rsid w:val="004B44D2"/>
    <w:rsid w:val="004B7DF7"/>
    <w:rsid w:val="004C2D68"/>
    <w:rsid w:val="004D144A"/>
    <w:rsid w:val="004E555A"/>
    <w:rsid w:val="004E638C"/>
    <w:rsid w:val="005001F9"/>
    <w:rsid w:val="00503AEF"/>
    <w:rsid w:val="00531566"/>
    <w:rsid w:val="005550D6"/>
    <w:rsid w:val="00555320"/>
    <w:rsid w:val="0055669D"/>
    <w:rsid w:val="005715B4"/>
    <w:rsid w:val="0057413A"/>
    <w:rsid w:val="00576D68"/>
    <w:rsid w:val="00577322"/>
    <w:rsid w:val="00591AE5"/>
    <w:rsid w:val="005A681A"/>
    <w:rsid w:val="005B4B87"/>
    <w:rsid w:val="005C4D14"/>
    <w:rsid w:val="005E0007"/>
    <w:rsid w:val="005E7868"/>
    <w:rsid w:val="005F05AE"/>
    <w:rsid w:val="005F0B53"/>
    <w:rsid w:val="005F7873"/>
    <w:rsid w:val="00604B06"/>
    <w:rsid w:val="00617F21"/>
    <w:rsid w:val="00627FF2"/>
    <w:rsid w:val="00631245"/>
    <w:rsid w:val="00641A5D"/>
    <w:rsid w:val="00651D08"/>
    <w:rsid w:val="00654632"/>
    <w:rsid w:val="006547D5"/>
    <w:rsid w:val="0065502F"/>
    <w:rsid w:val="00655CBE"/>
    <w:rsid w:val="00685567"/>
    <w:rsid w:val="00690755"/>
    <w:rsid w:val="00695928"/>
    <w:rsid w:val="006968F8"/>
    <w:rsid w:val="006A5818"/>
    <w:rsid w:val="006B09A0"/>
    <w:rsid w:val="006B1B50"/>
    <w:rsid w:val="006B425B"/>
    <w:rsid w:val="006C0F30"/>
    <w:rsid w:val="006C56EF"/>
    <w:rsid w:val="006D62E5"/>
    <w:rsid w:val="006E770F"/>
    <w:rsid w:val="006F51E5"/>
    <w:rsid w:val="006F7DFD"/>
    <w:rsid w:val="00700B13"/>
    <w:rsid w:val="00704AE5"/>
    <w:rsid w:val="00710F2F"/>
    <w:rsid w:val="00711B75"/>
    <w:rsid w:val="00716A0C"/>
    <w:rsid w:val="007535CD"/>
    <w:rsid w:val="007562EA"/>
    <w:rsid w:val="007750F6"/>
    <w:rsid w:val="007772B1"/>
    <w:rsid w:val="007A51E0"/>
    <w:rsid w:val="007B7C7C"/>
    <w:rsid w:val="007C1865"/>
    <w:rsid w:val="007C2C91"/>
    <w:rsid w:val="007C3751"/>
    <w:rsid w:val="007C3F0D"/>
    <w:rsid w:val="007D1CE7"/>
    <w:rsid w:val="007D73A5"/>
    <w:rsid w:val="007D7CB2"/>
    <w:rsid w:val="007E2989"/>
    <w:rsid w:val="007E2BB7"/>
    <w:rsid w:val="007E38B3"/>
    <w:rsid w:val="007E4574"/>
    <w:rsid w:val="00807DDE"/>
    <w:rsid w:val="008122D9"/>
    <w:rsid w:val="00816449"/>
    <w:rsid w:val="008224B4"/>
    <w:rsid w:val="00827A71"/>
    <w:rsid w:val="0083768C"/>
    <w:rsid w:val="008506B9"/>
    <w:rsid w:val="00853547"/>
    <w:rsid w:val="00855798"/>
    <w:rsid w:val="00860A2D"/>
    <w:rsid w:val="008647AF"/>
    <w:rsid w:val="00872803"/>
    <w:rsid w:val="00872F0B"/>
    <w:rsid w:val="008730A2"/>
    <w:rsid w:val="0087430D"/>
    <w:rsid w:val="00875760"/>
    <w:rsid w:val="008774D3"/>
    <w:rsid w:val="0088198C"/>
    <w:rsid w:val="008973B6"/>
    <w:rsid w:val="008A2859"/>
    <w:rsid w:val="008B0BE0"/>
    <w:rsid w:val="008B0EDD"/>
    <w:rsid w:val="008B4104"/>
    <w:rsid w:val="008D1F48"/>
    <w:rsid w:val="008D4528"/>
    <w:rsid w:val="008D542B"/>
    <w:rsid w:val="008E2DA5"/>
    <w:rsid w:val="008F1557"/>
    <w:rsid w:val="008F2C75"/>
    <w:rsid w:val="00911D40"/>
    <w:rsid w:val="00912102"/>
    <w:rsid w:val="009152F6"/>
    <w:rsid w:val="009230BB"/>
    <w:rsid w:val="00934415"/>
    <w:rsid w:val="009402EA"/>
    <w:rsid w:val="009525C8"/>
    <w:rsid w:val="009622CF"/>
    <w:rsid w:val="00962BC1"/>
    <w:rsid w:val="00970A07"/>
    <w:rsid w:val="00980974"/>
    <w:rsid w:val="009A06E3"/>
    <w:rsid w:val="009A12A9"/>
    <w:rsid w:val="009B5026"/>
    <w:rsid w:val="009C1CEF"/>
    <w:rsid w:val="009D42B1"/>
    <w:rsid w:val="009D682C"/>
    <w:rsid w:val="009D6C4B"/>
    <w:rsid w:val="009E028E"/>
    <w:rsid w:val="009E3BC6"/>
    <w:rsid w:val="009E47F1"/>
    <w:rsid w:val="009E72CC"/>
    <w:rsid w:val="00A05ECB"/>
    <w:rsid w:val="00A12AF5"/>
    <w:rsid w:val="00A13128"/>
    <w:rsid w:val="00A13A7D"/>
    <w:rsid w:val="00A14AB4"/>
    <w:rsid w:val="00A20C5A"/>
    <w:rsid w:val="00A27954"/>
    <w:rsid w:val="00A34879"/>
    <w:rsid w:val="00A5455A"/>
    <w:rsid w:val="00A6265B"/>
    <w:rsid w:val="00A62B05"/>
    <w:rsid w:val="00A66EAB"/>
    <w:rsid w:val="00A70197"/>
    <w:rsid w:val="00A8626E"/>
    <w:rsid w:val="00A94DE9"/>
    <w:rsid w:val="00AA0669"/>
    <w:rsid w:val="00AA3964"/>
    <w:rsid w:val="00AA77FF"/>
    <w:rsid w:val="00AB1B6A"/>
    <w:rsid w:val="00AC19F7"/>
    <w:rsid w:val="00AC2380"/>
    <w:rsid w:val="00AD012A"/>
    <w:rsid w:val="00AD01B2"/>
    <w:rsid w:val="00AD13ED"/>
    <w:rsid w:val="00AD5A61"/>
    <w:rsid w:val="00AF222B"/>
    <w:rsid w:val="00B548D3"/>
    <w:rsid w:val="00B54BB2"/>
    <w:rsid w:val="00B5743E"/>
    <w:rsid w:val="00B726F1"/>
    <w:rsid w:val="00B76AC5"/>
    <w:rsid w:val="00B85823"/>
    <w:rsid w:val="00BA1CD8"/>
    <w:rsid w:val="00BA6151"/>
    <w:rsid w:val="00BA626F"/>
    <w:rsid w:val="00BC5D63"/>
    <w:rsid w:val="00BC6ABC"/>
    <w:rsid w:val="00BD45C3"/>
    <w:rsid w:val="00BD6A5F"/>
    <w:rsid w:val="00C05DFD"/>
    <w:rsid w:val="00C2404D"/>
    <w:rsid w:val="00C32411"/>
    <w:rsid w:val="00C331BC"/>
    <w:rsid w:val="00C3723D"/>
    <w:rsid w:val="00C558D8"/>
    <w:rsid w:val="00C55C1C"/>
    <w:rsid w:val="00C71618"/>
    <w:rsid w:val="00C721B0"/>
    <w:rsid w:val="00CA74FE"/>
    <w:rsid w:val="00CB3562"/>
    <w:rsid w:val="00CC4E63"/>
    <w:rsid w:val="00CD3C91"/>
    <w:rsid w:val="00CD46E4"/>
    <w:rsid w:val="00CF26E0"/>
    <w:rsid w:val="00D03B32"/>
    <w:rsid w:val="00D3333E"/>
    <w:rsid w:val="00D34929"/>
    <w:rsid w:val="00D442A0"/>
    <w:rsid w:val="00D45F74"/>
    <w:rsid w:val="00D61D89"/>
    <w:rsid w:val="00D65DB1"/>
    <w:rsid w:val="00D670A0"/>
    <w:rsid w:val="00D75D82"/>
    <w:rsid w:val="00D838C4"/>
    <w:rsid w:val="00D9675A"/>
    <w:rsid w:val="00DA6C1B"/>
    <w:rsid w:val="00DC035C"/>
    <w:rsid w:val="00DC70FB"/>
    <w:rsid w:val="00DD7A2B"/>
    <w:rsid w:val="00DF0CFD"/>
    <w:rsid w:val="00DF3A61"/>
    <w:rsid w:val="00E0057E"/>
    <w:rsid w:val="00E11E90"/>
    <w:rsid w:val="00E30994"/>
    <w:rsid w:val="00E36E5A"/>
    <w:rsid w:val="00E544F9"/>
    <w:rsid w:val="00E55293"/>
    <w:rsid w:val="00E65FE9"/>
    <w:rsid w:val="00E73C97"/>
    <w:rsid w:val="00E8543C"/>
    <w:rsid w:val="00EC6648"/>
    <w:rsid w:val="00ED0453"/>
    <w:rsid w:val="00EE23D8"/>
    <w:rsid w:val="00EE4453"/>
    <w:rsid w:val="00EE766F"/>
    <w:rsid w:val="00EF1F87"/>
    <w:rsid w:val="00EF6B3A"/>
    <w:rsid w:val="00F106AA"/>
    <w:rsid w:val="00F14C56"/>
    <w:rsid w:val="00F16D24"/>
    <w:rsid w:val="00F37FE3"/>
    <w:rsid w:val="00F419CA"/>
    <w:rsid w:val="00F431B0"/>
    <w:rsid w:val="00F56F4B"/>
    <w:rsid w:val="00F641A7"/>
    <w:rsid w:val="00F70133"/>
    <w:rsid w:val="00F7288B"/>
    <w:rsid w:val="00F77C19"/>
    <w:rsid w:val="00F82FFE"/>
    <w:rsid w:val="00F838A1"/>
    <w:rsid w:val="00F8510D"/>
    <w:rsid w:val="00FC0435"/>
    <w:rsid w:val="00FC38FE"/>
    <w:rsid w:val="00FC3C58"/>
    <w:rsid w:val="00FD3A82"/>
    <w:rsid w:val="00FE352B"/>
    <w:rsid w:val="00FE678D"/>
    <w:rsid w:val="00FE77A6"/>
    <w:rsid w:val="00FF3B2B"/>
    <w:rsid w:val="00FF45B6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F51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  <w:style w:type="character" w:styleId="Appelnotedebasdep">
    <w:name w:val="footnote reference"/>
    <w:semiHidden/>
    <w:rsid w:val="006B425B"/>
    <w:rPr>
      <w:b/>
      <w:position w:val="6"/>
      <w:sz w:val="16"/>
    </w:rPr>
  </w:style>
  <w:style w:type="paragraph" w:customStyle="1" w:styleId="FP">
    <w:name w:val="FP"/>
    <w:basedOn w:val="Normal"/>
    <w:rsid w:val="006B425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42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25B"/>
    <w:rPr>
      <w:rFonts w:ascii="Segoe UI" w:hAnsi="Segoe UI" w:cs="Segoe UI"/>
      <w:sz w:val="18"/>
      <w:szCs w:val="18"/>
    </w:rPr>
  </w:style>
  <w:style w:type="paragraph" w:customStyle="1" w:styleId="TH">
    <w:name w:val="TH"/>
    <w:basedOn w:val="Normal"/>
    <w:link w:val="THChar"/>
    <w:rsid w:val="00AA77FF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AA77FF"/>
    <w:rPr>
      <w:rFonts w:eastAsia="Times New Roman" w:cs="Times New Roman"/>
      <w:b/>
      <w:sz w:val="20"/>
      <w:szCs w:val="20"/>
      <w:lang w:val="en-GB" w:eastAsia="en-US"/>
    </w:rPr>
  </w:style>
  <w:style w:type="table" w:styleId="Grilledutableau">
    <w:name w:val="Table Grid"/>
    <w:basedOn w:val="TableauNormal"/>
    <w:uiPriority w:val="39"/>
    <w:rsid w:val="006907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1"/>
    <w:qFormat/>
    <w:rsid w:val="005715B4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sid w:val="005715B4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e">
    <w:name w:val="List"/>
    <w:basedOn w:val="Normal"/>
    <w:uiPriority w:val="99"/>
    <w:semiHidden/>
    <w:unhideWhenUsed/>
    <w:rsid w:val="005715B4"/>
    <w:pPr>
      <w:ind w:left="283" w:hanging="283"/>
      <w:contextualSpacing/>
    </w:pPr>
  </w:style>
  <w:style w:type="paragraph" w:customStyle="1" w:styleId="EX">
    <w:name w:val="EX"/>
    <w:basedOn w:val="Normal"/>
    <w:link w:val="EXChar"/>
    <w:rsid w:val="005715B4"/>
    <w:pPr>
      <w:keepLines/>
      <w:spacing w:after="180" w:line="240" w:lineRule="auto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rsid w:val="005715B4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styleId="Lienhypertexte">
    <w:name w:val="Hyperlink"/>
    <w:basedOn w:val="Policepardfaut"/>
    <w:uiPriority w:val="99"/>
    <w:semiHidden/>
    <w:unhideWhenUsed/>
    <w:rsid w:val="00FF6630"/>
    <w:rPr>
      <w:color w:val="0000FF"/>
      <w:u w:val="single"/>
    </w:rPr>
  </w:style>
  <w:style w:type="paragraph" w:customStyle="1" w:styleId="TF">
    <w:name w:val="TF"/>
    <w:aliases w:val="left"/>
    <w:basedOn w:val="TH"/>
    <w:link w:val="TFChar"/>
    <w:qFormat/>
    <w:rsid w:val="00FE678D"/>
    <w:pPr>
      <w:keepNext w:val="0"/>
      <w:spacing w:before="0" w:after="240"/>
    </w:pPr>
    <w:rPr>
      <w:rFonts w:eastAsia="Malgun Gothic"/>
    </w:rPr>
  </w:style>
  <w:style w:type="character" w:customStyle="1" w:styleId="TFChar">
    <w:name w:val="TF Char"/>
    <w:link w:val="TF"/>
    <w:qFormat/>
    <w:rsid w:val="00FE678D"/>
    <w:rPr>
      <w:rFonts w:eastAsia="Malgun Gothic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160DF6F2-32D9-47F5-B31D-E1BD4946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999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2021-11-15T20:39:00Z</dcterms:created>
  <dcterms:modified xsi:type="dcterms:W3CDTF">2022-05-05T20:41:00Z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2022-05-05T14:43:07Z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a5918baa-9f3c-4317-ad68-0878361a17c1</vt:lpwstr>
  </property>
  <property fmtid="{D5CDD505-2E9C-101B-9397-08002B2CF9AE}" pid="8" name="MSIP_Label_07222825-62ea-40f3-96b5-5375c07996e2_ContentBits">
    <vt:lpwstr>0</vt:lpwstr>
  </property>
</Properties>
</file>